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6609" w:rsidRPr="004E32D2" w:rsidRDefault="00BD6609" w:rsidP="00BD6609">
      <w:pPr>
        <w:rPr>
          <w:rFonts w:ascii="Times New Roman" w:hAnsi="Times New Roman"/>
          <w:b/>
          <w:bCs/>
          <w:sz w:val="28"/>
          <w:szCs w:val="28"/>
        </w:rPr>
      </w:pPr>
      <w:r>
        <w:rPr>
          <w:rFonts w:ascii="Times New Roman" w:hAnsi="Times New Roman" w:cs="Times New Roman"/>
          <w:sz w:val="24"/>
          <w:szCs w:val="24"/>
        </w:rPr>
        <w:t xml:space="preserve">    </w:t>
      </w:r>
      <w:r w:rsidRPr="004E32D2">
        <w:rPr>
          <w:rFonts w:ascii="Times New Roman" w:hAnsi="Times New Roman"/>
          <w:b/>
          <w:bCs/>
          <w:noProof/>
          <w:sz w:val="28"/>
          <w:szCs w:val="28"/>
        </w:rPr>
        <w:drawing>
          <wp:anchor distT="0" distB="0" distL="114300" distR="114300" simplePos="0" relativeHeight="251659264" behindDoc="1" locked="0" layoutInCell="1" allowOverlap="1">
            <wp:simplePos x="0" y="0"/>
            <wp:positionH relativeFrom="column">
              <wp:posOffset>570844</wp:posOffset>
            </wp:positionH>
            <wp:positionV relativeFrom="paragraph">
              <wp:posOffset>7342</wp:posOffset>
            </wp:positionV>
            <wp:extent cx="5025916" cy="1103586"/>
            <wp:effectExtent l="19050" t="0" r="3284" b="0"/>
            <wp:wrapNone/>
            <wp:docPr id="2" name="Picture 1" descr="C:\Users\Use\Desktop\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Desktop\index.png"/>
                    <pic:cNvPicPr>
                      <a:picLocks noChangeAspect="1" noChangeArrowheads="1"/>
                    </pic:cNvPicPr>
                  </pic:nvPicPr>
                  <pic:blipFill>
                    <a:blip r:embed="rId8"/>
                    <a:srcRect/>
                    <a:stretch>
                      <a:fillRect/>
                    </a:stretch>
                  </pic:blipFill>
                  <pic:spPr bwMode="auto">
                    <a:xfrm>
                      <a:off x="0" y="0"/>
                      <a:ext cx="5025916" cy="1103586"/>
                    </a:xfrm>
                    <a:prstGeom prst="rect">
                      <a:avLst/>
                    </a:prstGeom>
                    <a:noFill/>
                    <a:ln w="9525">
                      <a:noFill/>
                      <a:miter lim="800000"/>
                      <a:headEnd/>
                      <a:tailEnd/>
                    </a:ln>
                  </pic:spPr>
                </pic:pic>
              </a:graphicData>
            </a:graphic>
          </wp:anchor>
        </w:drawing>
      </w:r>
    </w:p>
    <w:p w:rsidR="00BD6609" w:rsidRPr="004E32D2" w:rsidRDefault="00BD6609" w:rsidP="00BD6609">
      <w:pPr>
        <w:spacing w:after="0" w:line="240" w:lineRule="auto"/>
        <w:rPr>
          <w:rFonts w:ascii="Times New Roman" w:hAnsi="Times New Roman"/>
          <w:b/>
          <w:bCs/>
          <w:sz w:val="28"/>
          <w:szCs w:val="28"/>
        </w:rPr>
      </w:pPr>
    </w:p>
    <w:p w:rsidR="00BD6609" w:rsidRPr="004E32D2" w:rsidRDefault="00BD6609" w:rsidP="00BD6609">
      <w:pPr>
        <w:spacing w:after="0" w:line="240" w:lineRule="auto"/>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360" w:lineRule="auto"/>
        <w:jc w:val="center"/>
        <w:rPr>
          <w:rFonts w:ascii="Times New Roman" w:hAnsi="Times New Roman"/>
          <w:b/>
          <w:bCs/>
          <w:sz w:val="30"/>
          <w:szCs w:val="28"/>
        </w:rPr>
      </w:pPr>
      <w:r w:rsidRPr="004E32D2">
        <w:rPr>
          <w:rFonts w:ascii="Times New Roman" w:hAnsi="Times New Roman"/>
          <w:b/>
          <w:bCs/>
          <w:sz w:val="30"/>
          <w:szCs w:val="28"/>
        </w:rPr>
        <w:t>Research Monograph</w:t>
      </w:r>
    </w:p>
    <w:p w:rsidR="00BD6609" w:rsidRPr="004E32D2" w:rsidRDefault="00BD6609" w:rsidP="00BD6609">
      <w:pPr>
        <w:spacing w:after="0" w:line="360" w:lineRule="auto"/>
        <w:jc w:val="center"/>
        <w:rPr>
          <w:rFonts w:ascii="Times New Roman" w:hAnsi="Times New Roman"/>
          <w:b/>
          <w:bCs/>
          <w:sz w:val="30"/>
          <w:szCs w:val="28"/>
        </w:rPr>
      </w:pPr>
      <w:r w:rsidRPr="004E32D2">
        <w:rPr>
          <w:rFonts w:ascii="Times New Roman" w:hAnsi="Times New Roman"/>
          <w:b/>
          <w:bCs/>
          <w:sz w:val="30"/>
          <w:szCs w:val="28"/>
        </w:rPr>
        <w:t>On</w:t>
      </w:r>
    </w:p>
    <w:p w:rsidR="00BD6609" w:rsidRPr="004E32D2" w:rsidRDefault="00BD6609" w:rsidP="00BD6609">
      <w:pPr>
        <w:spacing w:after="0" w:line="360" w:lineRule="auto"/>
        <w:jc w:val="center"/>
        <w:rPr>
          <w:rFonts w:ascii="Times New Roman" w:hAnsi="Times New Roman"/>
          <w:b/>
          <w:bCs/>
          <w:sz w:val="30"/>
          <w:szCs w:val="28"/>
        </w:rPr>
      </w:pPr>
      <w:r>
        <w:rPr>
          <w:rFonts w:ascii="Times New Roman" w:hAnsi="Times New Roman"/>
          <w:b/>
          <w:bCs/>
          <w:sz w:val="30"/>
          <w:szCs w:val="28"/>
        </w:rPr>
        <w:t>“Mechanism to Implement Human Rights in Bangladesh”</w:t>
      </w: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This Research Submitted for the Partial Fulfillment of the award of the degree in LL.B (Hon’s) Department of Law, Sonargaon University (SU), Dhaka.</w:t>
      </w: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Submitted To:</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Sanjoy Pal</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Lecturer &amp; Co-ordinator</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 xml:space="preserve">Department of Law </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Sonargaon University (SU), Dhaka.</w:t>
      </w:r>
    </w:p>
    <w:p w:rsidR="00BD6609" w:rsidRPr="004E32D2" w:rsidRDefault="00BD6609" w:rsidP="00BD6609">
      <w:pPr>
        <w:spacing w:after="0" w:line="240" w:lineRule="auto"/>
        <w:rPr>
          <w:rFonts w:ascii="Times New Roman" w:hAnsi="Times New Roman"/>
          <w:b/>
          <w:bCs/>
          <w:sz w:val="28"/>
          <w:szCs w:val="28"/>
        </w:rPr>
      </w:pPr>
    </w:p>
    <w:p w:rsidR="00BD6609" w:rsidRPr="004E32D2" w:rsidRDefault="00BD6609" w:rsidP="00BD6609">
      <w:pPr>
        <w:spacing w:after="0" w:line="240" w:lineRule="auto"/>
        <w:rPr>
          <w:rFonts w:ascii="Times New Roman" w:hAnsi="Times New Roman"/>
          <w:b/>
          <w:bCs/>
          <w:sz w:val="28"/>
          <w:szCs w:val="28"/>
        </w:rPr>
      </w:pPr>
    </w:p>
    <w:p w:rsidR="00BD6609" w:rsidRPr="004E32D2" w:rsidRDefault="00BD6609" w:rsidP="00BD6609">
      <w:pPr>
        <w:spacing w:after="0" w:line="240" w:lineRule="auto"/>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Submitted By:</w:t>
      </w:r>
    </w:p>
    <w:p w:rsidR="00BD6609" w:rsidRPr="004E32D2" w:rsidRDefault="00BD6609" w:rsidP="00BD6609">
      <w:pPr>
        <w:spacing w:after="0" w:line="240" w:lineRule="auto"/>
        <w:jc w:val="center"/>
        <w:rPr>
          <w:rFonts w:ascii="Times New Roman" w:hAnsi="Times New Roman"/>
          <w:b/>
          <w:bCs/>
          <w:sz w:val="28"/>
          <w:szCs w:val="28"/>
        </w:rPr>
      </w:pPr>
      <w:r>
        <w:rPr>
          <w:rFonts w:ascii="Times New Roman" w:hAnsi="Times New Roman"/>
          <w:b/>
          <w:bCs/>
          <w:sz w:val="28"/>
          <w:szCs w:val="28"/>
        </w:rPr>
        <w:t>Kazi Raj</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 xml:space="preserve">ID: LL.B </w:t>
      </w:r>
      <w:r>
        <w:rPr>
          <w:rFonts w:ascii="Times New Roman" w:hAnsi="Times New Roman"/>
          <w:b/>
          <w:bCs/>
          <w:sz w:val="28"/>
          <w:szCs w:val="28"/>
        </w:rPr>
        <w:t>1901016039</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Program: LL.B (Hon’s)</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Batch: 16A</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 xml:space="preserve">Department of Law, </w:t>
      </w: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Sonargaon University (SU), Dhaka.</w:t>
      </w: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p>
    <w:p w:rsidR="00BD6609" w:rsidRPr="004E32D2" w:rsidRDefault="00BD6609" w:rsidP="00BD6609">
      <w:pPr>
        <w:spacing w:after="0" w:line="240" w:lineRule="auto"/>
        <w:jc w:val="center"/>
        <w:rPr>
          <w:rFonts w:ascii="Times New Roman" w:hAnsi="Times New Roman"/>
          <w:b/>
          <w:bCs/>
          <w:sz w:val="28"/>
          <w:szCs w:val="28"/>
        </w:rPr>
      </w:pPr>
      <w:r w:rsidRPr="004E32D2">
        <w:rPr>
          <w:rFonts w:ascii="Times New Roman" w:hAnsi="Times New Roman"/>
          <w:b/>
          <w:bCs/>
          <w:sz w:val="28"/>
          <w:szCs w:val="28"/>
        </w:rPr>
        <w:t xml:space="preserve">Submission Date:  </w:t>
      </w:r>
      <w:r>
        <w:rPr>
          <w:rFonts w:ascii="Times New Roman" w:hAnsi="Times New Roman"/>
          <w:b/>
          <w:bCs/>
          <w:sz w:val="28"/>
          <w:szCs w:val="28"/>
        </w:rPr>
        <w:t>5</w:t>
      </w:r>
      <w:r w:rsidRPr="000C1F11">
        <w:rPr>
          <w:rFonts w:ascii="Times New Roman" w:hAnsi="Times New Roman"/>
          <w:b/>
          <w:bCs/>
          <w:sz w:val="28"/>
          <w:szCs w:val="28"/>
          <w:vertAlign w:val="superscript"/>
        </w:rPr>
        <w:t>th</w:t>
      </w:r>
      <w:r>
        <w:rPr>
          <w:rFonts w:ascii="Times New Roman" w:hAnsi="Times New Roman"/>
          <w:b/>
          <w:bCs/>
          <w:sz w:val="28"/>
          <w:szCs w:val="28"/>
        </w:rPr>
        <w:t xml:space="preserve"> January, 2023 </w:t>
      </w:r>
    </w:p>
    <w:p w:rsidR="00BD6609" w:rsidRPr="004E32D2" w:rsidRDefault="00BD6609" w:rsidP="00BD6609">
      <w:pPr>
        <w:spacing w:after="0" w:line="240" w:lineRule="auto"/>
        <w:jc w:val="center"/>
        <w:rPr>
          <w:rFonts w:ascii="Times New Roman" w:hAnsi="Times New Roman"/>
          <w:b/>
          <w:bCs/>
          <w:sz w:val="36"/>
          <w:szCs w:val="36"/>
        </w:rPr>
      </w:pPr>
    </w:p>
    <w:p w:rsidR="00BD6609" w:rsidRPr="004E32D2" w:rsidRDefault="00BD6609" w:rsidP="00BD6609">
      <w:pPr>
        <w:spacing w:after="0" w:line="240" w:lineRule="auto"/>
        <w:jc w:val="center"/>
        <w:rPr>
          <w:rFonts w:ascii="Times New Roman" w:hAnsi="Times New Roman"/>
          <w:b/>
          <w:bCs/>
          <w:sz w:val="36"/>
          <w:szCs w:val="36"/>
        </w:rPr>
      </w:pPr>
    </w:p>
    <w:p w:rsidR="00BD6609" w:rsidRPr="004E32D2" w:rsidRDefault="00BD6609" w:rsidP="00BD6609">
      <w:pPr>
        <w:spacing w:after="0" w:line="240" w:lineRule="auto"/>
        <w:jc w:val="center"/>
        <w:rPr>
          <w:rFonts w:ascii="Times New Roman" w:hAnsi="Times New Roman"/>
          <w:b/>
          <w:bCs/>
          <w:sz w:val="36"/>
          <w:szCs w:val="36"/>
        </w:rPr>
      </w:pPr>
    </w:p>
    <w:p w:rsidR="00BD6609" w:rsidRPr="004E32D2" w:rsidRDefault="00BD6609" w:rsidP="00BD6609">
      <w:pPr>
        <w:spacing w:after="0" w:line="240" w:lineRule="auto"/>
        <w:jc w:val="center"/>
        <w:rPr>
          <w:rFonts w:ascii="Times New Roman" w:hAnsi="Times New Roman"/>
          <w:b/>
          <w:bCs/>
          <w:sz w:val="36"/>
          <w:szCs w:val="36"/>
        </w:rPr>
      </w:pPr>
    </w:p>
    <w:p w:rsidR="00BD6609" w:rsidRPr="004E32D2" w:rsidRDefault="00BD6609" w:rsidP="00BD6609">
      <w:pPr>
        <w:spacing w:after="0" w:line="240" w:lineRule="auto"/>
        <w:jc w:val="center"/>
        <w:rPr>
          <w:rFonts w:ascii="Times New Roman" w:hAnsi="Times New Roman"/>
          <w:b/>
          <w:bCs/>
          <w:sz w:val="36"/>
          <w:szCs w:val="36"/>
        </w:rPr>
      </w:pPr>
    </w:p>
    <w:p w:rsidR="00BD6609" w:rsidRDefault="00BD6609" w:rsidP="00BD6609">
      <w:pPr>
        <w:spacing w:after="0" w:line="240" w:lineRule="auto"/>
        <w:jc w:val="center"/>
        <w:rPr>
          <w:rFonts w:ascii="Times New Roman" w:hAnsi="Times New Roman"/>
          <w:b/>
          <w:bCs/>
          <w:sz w:val="36"/>
          <w:szCs w:val="36"/>
        </w:rPr>
      </w:pPr>
    </w:p>
    <w:p w:rsidR="00BD6609" w:rsidRPr="004E32D2" w:rsidRDefault="00BD6609" w:rsidP="00BD6609">
      <w:pPr>
        <w:spacing w:after="0" w:line="240" w:lineRule="auto"/>
        <w:jc w:val="center"/>
        <w:rPr>
          <w:rFonts w:ascii="Times New Roman" w:hAnsi="Times New Roman"/>
          <w:b/>
          <w:bCs/>
          <w:sz w:val="36"/>
          <w:szCs w:val="36"/>
        </w:rPr>
      </w:pPr>
    </w:p>
    <w:p w:rsidR="00BD6609" w:rsidRPr="004E32D2" w:rsidRDefault="00BD6609" w:rsidP="00BD6609">
      <w:pPr>
        <w:spacing w:after="0" w:line="240" w:lineRule="auto"/>
        <w:jc w:val="center"/>
        <w:rPr>
          <w:rFonts w:ascii="Times New Roman" w:hAnsi="Times New Roman"/>
          <w:b/>
          <w:bCs/>
          <w:sz w:val="56"/>
          <w:szCs w:val="36"/>
        </w:rPr>
      </w:pPr>
    </w:p>
    <w:p w:rsidR="00BD6609" w:rsidRPr="004E32D2" w:rsidRDefault="00BD6609" w:rsidP="00BD6609">
      <w:pPr>
        <w:spacing w:after="0" w:line="240" w:lineRule="auto"/>
        <w:jc w:val="center"/>
        <w:rPr>
          <w:rFonts w:ascii="Times New Roman" w:hAnsi="Times New Roman"/>
          <w:b/>
          <w:bCs/>
          <w:sz w:val="56"/>
          <w:szCs w:val="36"/>
        </w:rPr>
      </w:pPr>
      <w:r w:rsidRPr="004E32D2">
        <w:rPr>
          <w:rFonts w:ascii="Times New Roman" w:hAnsi="Times New Roman"/>
          <w:b/>
          <w:bCs/>
          <w:sz w:val="56"/>
          <w:szCs w:val="36"/>
        </w:rPr>
        <w:t>Dedication</w:t>
      </w:r>
    </w:p>
    <w:p w:rsidR="00BD6609" w:rsidRPr="004E32D2" w:rsidRDefault="00BD6609" w:rsidP="00BD6609">
      <w:pPr>
        <w:spacing w:after="0" w:line="240" w:lineRule="auto"/>
        <w:jc w:val="center"/>
        <w:rPr>
          <w:rFonts w:ascii="Times New Roman" w:hAnsi="Times New Roman"/>
          <w:b/>
          <w:bCs/>
          <w:sz w:val="48"/>
          <w:szCs w:val="36"/>
        </w:rPr>
      </w:pPr>
      <w:r w:rsidRPr="004E32D2">
        <w:rPr>
          <w:rFonts w:ascii="Times New Roman" w:hAnsi="Times New Roman"/>
          <w:b/>
          <w:bCs/>
          <w:sz w:val="48"/>
          <w:szCs w:val="36"/>
        </w:rPr>
        <w:t xml:space="preserve">This research is dedicated to my </w:t>
      </w:r>
    </w:p>
    <w:p w:rsidR="00BD6609" w:rsidRPr="004E32D2" w:rsidRDefault="00BD6609" w:rsidP="00BD6609">
      <w:pPr>
        <w:spacing w:after="0" w:line="240" w:lineRule="auto"/>
        <w:jc w:val="center"/>
        <w:rPr>
          <w:rFonts w:ascii="Times New Roman" w:hAnsi="Times New Roman"/>
          <w:b/>
          <w:bCs/>
          <w:sz w:val="48"/>
          <w:szCs w:val="36"/>
        </w:rPr>
      </w:pPr>
      <w:r w:rsidRPr="004E32D2">
        <w:rPr>
          <w:rFonts w:ascii="Times New Roman" w:hAnsi="Times New Roman"/>
          <w:b/>
          <w:bCs/>
          <w:sz w:val="48"/>
          <w:szCs w:val="36"/>
        </w:rPr>
        <w:t>Father &amp; Mother</w:t>
      </w:r>
    </w:p>
    <w:p w:rsidR="00BD6609" w:rsidRPr="004E32D2" w:rsidRDefault="00BD6609" w:rsidP="00BD6609">
      <w:pPr>
        <w:spacing w:after="0" w:line="240" w:lineRule="auto"/>
        <w:rPr>
          <w:rFonts w:ascii="Times New Roman" w:hAnsi="Times New Roman"/>
          <w:b/>
          <w:bCs/>
          <w:sz w:val="36"/>
          <w:szCs w:val="36"/>
        </w:rPr>
      </w:pPr>
      <w:r w:rsidRPr="004E32D2">
        <w:rPr>
          <w:rFonts w:ascii="Times New Roman" w:hAnsi="Times New Roman"/>
          <w:b/>
          <w:bCs/>
          <w:sz w:val="36"/>
          <w:szCs w:val="36"/>
        </w:rPr>
        <w:br w:type="page"/>
      </w:r>
    </w:p>
    <w:p w:rsidR="00BD6609" w:rsidRPr="004E32D2" w:rsidRDefault="00BD6609" w:rsidP="00BD6609">
      <w:pPr>
        <w:shd w:val="clear" w:color="auto" w:fill="FFFFFF"/>
        <w:autoSpaceDE w:val="0"/>
        <w:autoSpaceDN w:val="0"/>
        <w:adjustRightInd w:val="0"/>
        <w:spacing w:after="0" w:line="240" w:lineRule="auto"/>
        <w:jc w:val="center"/>
        <w:rPr>
          <w:rFonts w:ascii="Times New Roman" w:hAnsi="Times New Roman"/>
          <w:b/>
          <w:bCs/>
          <w:iCs/>
          <w:sz w:val="36"/>
          <w:szCs w:val="28"/>
          <w:u w:val="single"/>
        </w:rPr>
      </w:pPr>
      <w:r w:rsidRPr="004E32D2">
        <w:rPr>
          <w:rFonts w:ascii="Times New Roman" w:hAnsi="Times New Roman"/>
          <w:b/>
          <w:bCs/>
          <w:iCs/>
          <w:sz w:val="36"/>
          <w:szCs w:val="28"/>
          <w:u w:val="single"/>
        </w:rPr>
        <w:lastRenderedPageBreak/>
        <w:t xml:space="preserve">LETTER OF TRANSMITTAL </w:t>
      </w: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b/>
          <w:sz w:val="28"/>
          <w:szCs w:val="28"/>
        </w:rPr>
      </w:pPr>
      <w:r w:rsidRPr="004E32D2">
        <w:rPr>
          <w:rFonts w:ascii="Times New Roman" w:hAnsi="Times New Roman"/>
          <w:b/>
          <w:sz w:val="28"/>
          <w:szCs w:val="28"/>
        </w:rPr>
        <w:t>To</w:t>
      </w:r>
    </w:p>
    <w:p w:rsidR="00BD6609" w:rsidRPr="004E32D2" w:rsidRDefault="00BD6609" w:rsidP="00BD6609">
      <w:pPr>
        <w:spacing w:after="0" w:line="240" w:lineRule="auto"/>
        <w:rPr>
          <w:rFonts w:ascii="Times New Roman" w:hAnsi="Times New Roman"/>
          <w:b/>
          <w:bCs/>
          <w:sz w:val="28"/>
          <w:szCs w:val="28"/>
        </w:rPr>
      </w:pPr>
      <w:r w:rsidRPr="004E32D2">
        <w:rPr>
          <w:rFonts w:ascii="Times New Roman" w:hAnsi="Times New Roman"/>
          <w:b/>
          <w:bCs/>
          <w:sz w:val="28"/>
          <w:szCs w:val="28"/>
        </w:rPr>
        <w:t>Sanjoy Pal</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Lecturer &amp; Co-ordinator</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 xml:space="preserve">Department of Law </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Sonargaon University (SU), Dhaka.</w:t>
      </w: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pacing w:after="0" w:line="240" w:lineRule="auto"/>
        <w:jc w:val="both"/>
        <w:rPr>
          <w:rFonts w:ascii="Times New Roman" w:hAnsi="Times New Roman"/>
        </w:rPr>
      </w:pPr>
      <w:r w:rsidRPr="004E32D2">
        <w:rPr>
          <w:rFonts w:ascii="Times New Roman" w:hAnsi="Times New Roman"/>
        </w:rPr>
        <w:t>Re: Submission of Thesis Paper.</w:t>
      </w: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r w:rsidRPr="004E32D2">
        <w:rPr>
          <w:rFonts w:ascii="Times New Roman" w:hAnsi="Times New Roman"/>
          <w:sz w:val="28"/>
          <w:szCs w:val="28"/>
        </w:rPr>
        <w:t>Sir,</w:t>
      </w: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360" w:lineRule="auto"/>
        <w:jc w:val="both"/>
        <w:rPr>
          <w:rFonts w:ascii="Times New Roman" w:hAnsi="Times New Roman"/>
          <w:sz w:val="26"/>
          <w:szCs w:val="28"/>
        </w:rPr>
      </w:pPr>
      <w:r w:rsidRPr="004E32D2">
        <w:rPr>
          <w:rFonts w:ascii="Times New Roman" w:hAnsi="Times New Roman"/>
          <w:sz w:val="26"/>
          <w:szCs w:val="28"/>
        </w:rPr>
        <w:t xml:space="preserve">It is a great pleasure for me to submit the thesis on </w:t>
      </w:r>
      <w:r w:rsidRPr="004E32D2">
        <w:rPr>
          <w:rFonts w:ascii="Times New Roman" w:hAnsi="Times New Roman"/>
          <w:b/>
          <w:bCs/>
          <w:i/>
          <w:iCs/>
          <w:sz w:val="26"/>
          <w:szCs w:val="28"/>
        </w:rPr>
        <w:t>“</w:t>
      </w:r>
      <w:r>
        <w:rPr>
          <w:rFonts w:ascii="Times New Roman" w:hAnsi="Times New Roman"/>
          <w:b/>
          <w:bCs/>
          <w:i/>
          <w:iCs/>
          <w:sz w:val="26"/>
          <w:szCs w:val="28"/>
        </w:rPr>
        <w:t>“Mechanism to Implement Human Rights in Bangladesh”</w:t>
      </w:r>
      <w:r w:rsidRPr="004E32D2">
        <w:rPr>
          <w:rFonts w:ascii="Times New Roman" w:hAnsi="Times New Roman"/>
          <w:b/>
          <w:sz w:val="26"/>
          <w:szCs w:val="28"/>
        </w:rPr>
        <w:t>"</w:t>
      </w:r>
      <w:r w:rsidRPr="004E32D2">
        <w:rPr>
          <w:rFonts w:ascii="Times New Roman" w:hAnsi="Times New Roman"/>
          <w:sz w:val="26"/>
          <w:szCs w:val="28"/>
        </w:rPr>
        <w:t xml:space="preserve"> While I doing this thesis, I have tried my level best to make this project paper to the latest standard. I think that thesis paper will fulfill your requirement and pleased you. I, therefore, hope that you would be kind enough to go through this thesis paper for evaluation.</w:t>
      </w: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6"/>
          <w:szCs w:val="28"/>
        </w:rPr>
      </w:pPr>
      <w:r w:rsidRPr="004E32D2">
        <w:rPr>
          <w:rFonts w:ascii="Times New Roman" w:hAnsi="Times New Roman"/>
          <w:sz w:val="26"/>
          <w:szCs w:val="28"/>
        </w:rPr>
        <w:t>I am always be ready for clearance of any part of my thesis.</w:t>
      </w: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r w:rsidRPr="004E32D2">
        <w:rPr>
          <w:rFonts w:ascii="Times New Roman" w:hAnsi="Times New Roman"/>
          <w:sz w:val="28"/>
          <w:szCs w:val="28"/>
        </w:rPr>
        <w:t>Thanking you</w:t>
      </w: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hd w:val="clear" w:color="auto" w:fill="FFFFFF"/>
        <w:autoSpaceDE w:val="0"/>
        <w:autoSpaceDN w:val="0"/>
        <w:adjustRightInd w:val="0"/>
        <w:spacing w:after="0" w:line="240" w:lineRule="auto"/>
        <w:jc w:val="both"/>
        <w:rPr>
          <w:rFonts w:ascii="Times New Roman" w:hAnsi="Times New Roman"/>
          <w:sz w:val="28"/>
          <w:szCs w:val="28"/>
        </w:rPr>
      </w:pPr>
    </w:p>
    <w:p w:rsidR="00BD6609" w:rsidRPr="004E32D2" w:rsidRDefault="00BD6609" w:rsidP="00BD6609">
      <w:pPr>
        <w:spacing w:after="0" w:line="240" w:lineRule="auto"/>
        <w:rPr>
          <w:rFonts w:ascii="Times New Roman" w:hAnsi="Times New Roman"/>
          <w:b/>
          <w:bCs/>
          <w:sz w:val="28"/>
          <w:szCs w:val="28"/>
        </w:rPr>
      </w:pPr>
      <w:r>
        <w:rPr>
          <w:rFonts w:ascii="Times New Roman" w:hAnsi="Times New Roman"/>
          <w:b/>
          <w:bCs/>
          <w:sz w:val="28"/>
          <w:szCs w:val="28"/>
        </w:rPr>
        <w:t>Kazi Raj</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 xml:space="preserve">ID: LL.B </w:t>
      </w:r>
      <w:r>
        <w:rPr>
          <w:rFonts w:ascii="Times New Roman" w:hAnsi="Times New Roman"/>
          <w:bCs/>
          <w:sz w:val="26"/>
          <w:szCs w:val="28"/>
        </w:rPr>
        <w:t>1901016039</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Program: LL.B (Hon’s)</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Batch: 16A</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 xml:space="preserve">Department of Law, </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Sonargaon University (SU), Dhaka.</w:t>
      </w:r>
    </w:p>
    <w:p w:rsidR="00BD6609" w:rsidRPr="004E32D2" w:rsidRDefault="00BD6609" w:rsidP="00BD6609">
      <w:pPr>
        <w:spacing w:after="0" w:line="240" w:lineRule="auto"/>
        <w:rPr>
          <w:rFonts w:ascii="Times New Roman" w:hAnsi="Times New Roman"/>
          <w:b/>
          <w:bCs/>
          <w:sz w:val="36"/>
          <w:szCs w:val="36"/>
        </w:rPr>
      </w:pPr>
      <w:r w:rsidRPr="004E32D2">
        <w:rPr>
          <w:rFonts w:ascii="Times New Roman" w:hAnsi="Times New Roman"/>
          <w:b/>
          <w:bCs/>
          <w:sz w:val="36"/>
          <w:szCs w:val="36"/>
        </w:rPr>
        <w:br w:type="page"/>
      </w:r>
    </w:p>
    <w:p w:rsidR="00BD6609" w:rsidRPr="004E32D2" w:rsidRDefault="00BD6609" w:rsidP="00BD6609">
      <w:pPr>
        <w:spacing w:after="0" w:line="240" w:lineRule="auto"/>
        <w:jc w:val="center"/>
        <w:rPr>
          <w:rFonts w:ascii="Times New Roman" w:hAnsi="Times New Roman"/>
          <w:b/>
          <w:bCs/>
          <w:sz w:val="38"/>
          <w:szCs w:val="36"/>
          <w:u w:val="single"/>
        </w:rPr>
      </w:pPr>
      <w:r w:rsidRPr="004E32D2">
        <w:rPr>
          <w:rFonts w:ascii="Times New Roman" w:hAnsi="Times New Roman"/>
          <w:b/>
          <w:bCs/>
          <w:sz w:val="38"/>
          <w:szCs w:val="36"/>
          <w:u w:val="single"/>
        </w:rPr>
        <w:lastRenderedPageBreak/>
        <w:t>DECLARATION</w:t>
      </w:r>
    </w:p>
    <w:p w:rsidR="00BD6609" w:rsidRPr="004E32D2" w:rsidRDefault="00BD6609" w:rsidP="00BD6609">
      <w:pPr>
        <w:spacing w:after="0" w:line="240" w:lineRule="auto"/>
        <w:rPr>
          <w:rFonts w:ascii="Times New Roman" w:hAnsi="Times New Roman"/>
          <w:b/>
          <w:bCs/>
          <w:sz w:val="36"/>
          <w:szCs w:val="36"/>
        </w:rPr>
      </w:pPr>
    </w:p>
    <w:p w:rsidR="00BD6609" w:rsidRPr="004E32D2" w:rsidRDefault="00BD6609" w:rsidP="00BD6609">
      <w:pPr>
        <w:spacing w:after="0" w:line="360" w:lineRule="auto"/>
        <w:jc w:val="both"/>
        <w:rPr>
          <w:rFonts w:ascii="Times New Roman" w:hAnsi="Times New Roman"/>
          <w:bCs/>
          <w:sz w:val="26"/>
          <w:szCs w:val="36"/>
        </w:rPr>
      </w:pPr>
      <w:r w:rsidRPr="004E32D2">
        <w:rPr>
          <w:rFonts w:ascii="Times New Roman" w:hAnsi="Times New Roman"/>
          <w:bCs/>
          <w:sz w:val="26"/>
          <w:szCs w:val="36"/>
        </w:rPr>
        <w:t xml:space="preserve">I do hereby that this Research Monograph on the </w:t>
      </w:r>
      <w:r>
        <w:rPr>
          <w:rFonts w:ascii="Times New Roman" w:hAnsi="Times New Roman"/>
          <w:b/>
          <w:bCs/>
          <w:sz w:val="26"/>
          <w:szCs w:val="28"/>
        </w:rPr>
        <w:t>“Mechanism to Implement Human Rights in Bangladesh”</w:t>
      </w:r>
      <w:r w:rsidRPr="004E32D2">
        <w:rPr>
          <w:rFonts w:ascii="Times New Roman" w:hAnsi="Times New Roman"/>
          <w:bCs/>
          <w:sz w:val="26"/>
          <w:szCs w:val="36"/>
        </w:rPr>
        <w:t xml:space="preserve"> have been done by me and this Research is free from all plagiarism and without help of other. I further declare that this monograph is prepared with my own effort and it was not and never submit to any institute for any academic reason.</w:t>
      </w:r>
    </w:p>
    <w:p w:rsidR="00BD6609" w:rsidRPr="004E32D2" w:rsidRDefault="00BD6609" w:rsidP="00BD6609">
      <w:pPr>
        <w:spacing w:after="0" w:line="240" w:lineRule="auto"/>
        <w:rPr>
          <w:rFonts w:ascii="Times New Roman" w:hAnsi="Times New Roman"/>
          <w:b/>
          <w:bCs/>
          <w:sz w:val="36"/>
          <w:szCs w:val="36"/>
        </w:rPr>
      </w:pPr>
    </w:p>
    <w:p w:rsidR="00BD6609" w:rsidRPr="004E32D2" w:rsidRDefault="00BD6609" w:rsidP="00BD6609">
      <w:pPr>
        <w:spacing w:after="0" w:line="240" w:lineRule="auto"/>
        <w:rPr>
          <w:rFonts w:ascii="Times New Roman" w:hAnsi="Times New Roman"/>
          <w:b/>
          <w:bCs/>
          <w:sz w:val="36"/>
          <w:szCs w:val="36"/>
        </w:rPr>
      </w:pPr>
    </w:p>
    <w:p w:rsidR="00BD6609" w:rsidRPr="004E32D2" w:rsidRDefault="00BD6609" w:rsidP="00BD6609">
      <w:pPr>
        <w:spacing w:after="0" w:line="240" w:lineRule="auto"/>
        <w:rPr>
          <w:rFonts w:ascii="Times New Roman" w:hAnsi="Times New Roman"/>
          <w:b/>
          <w:bCs/>
          <w:sz w:val="36"/>
          <w:szCs w:val="36"/>
        </w:rPr>
      </w:pPr>
    </w:p>
    <w:p w:rsidR="00BD6609" w:rsidRPr="004E32D2" w:rsidRDefault="00BD6609" w:rsidP="00BD6609">
      <w:pPr>
        <w:spacing w:after="0" w:line="240" w:lineRule="auto"/>
        <w:rPr>
          <w:rFonts w:ascii="Times New Roman" w:hAnsi="Times New Roman"/>
          <w:b/>
          <w:bCs/>
          <w:sz w:val="28"/>
          <w:szCs w:val="28"/>
        </w:rPr>
      </w:pPr>
      <w:r w:rsidRPr="004E32D2">
        <w:rPr>
          <w:rFonts w:ascii="Times New Roman" w:hAnsi="Times New Roman"/>
          <w:b/>
          <w:bCs/>
          <w:sz w:val="28"/>
          <w:szCs w:val="28"/>
        </w:rPr>
        <w:t>___________________________</w:t>
      </w:r>
    </w:p>
    <w:p w:rsidR="00BD6609" w:rsidRPr="004E32D2" w:rsidRDefault="00BD6609" w:rsidP="00BD6609">
      <w:pPr>
        <w:spacing w:after="0" w:line="240" w:lineRule="auto"/>
        <w:rPr>
          <w:rFonts w:ascii="Times New Roman" w:hAnsi="Times New Roman"/>
          <w:b/>
          <w:bCs/>
          <w:sz w:val="28"/>
          <w:szCs w:val="28"/>
        </w:rPr>
      </w:pPr>
      <w:r>
        <w:rPr>
          <w:rFonts w:ascii="Times New Roman" w:hAnsi="Times New Roman"/>
          <w:b/>
          <w:bCs/>
          <w:sz w:val="28"/>
          <w:szCs w:val="28"/>
        </w:rPr>
        <w:t>Kazi Raj</w:t>
      </w:r>
    </w:p>
    <w:p w:rsidR="00BD6609" w:rsidRPr="004E32D2" w:rsidRDefault="00BD6609" w:rsidP="00BD6609">
      <w:pPr>
        <w:spacing w:after="0" w:line="240" w:lineRule="auto"/>
        <w:rPr>
          <w:rFonts w:ascii="Times New Roman" w:hAnsi="Times New Roman"/>
          <w:bCs/>
          <w:sz w:val="28"/>
          <w:szCs w:val="28"/>
        </w:rPr>
      </w:pPr>
      <w:r w:rsidRPr="004E32D2">
        <w:rPr>
          <w:rFonts w:ascii="Times New Roman" w:hAnsi="Times New Roman"/>
          <w:bCs/>
          <w:sz w:val="28"/>
          <w:szCs w:val="28"/>
        </w:rPr>
        <w:t xml:space="preserve">ID: LL.B </w:t>
      </w:r>
      <w:r>
        <w:rPr>
          <w:rFonts w:ascii="Times New Roman" w:hAnsi="Times New Roman"/>
          <w:bCs/>
          <w:sz w:val="28"/>
          <w:szCs w:val="28"/>
        </w:rPr>
        <w:t>1901016039</w:t>
      </w:r>
    </w:p>
    <w:p w:rsidR="00BD6609" w:rsidRPr="004E32D2" w:rsidRDefault="00BD6609" w:rsidP="00BD6609">
      <w:pPr>
        <w:spacing w:after="0" w:line="240" w:lineRule="auto"/>
        <w:rPr>
          <w:rFonts w:ascii="Times New Roman" w:hAnsi="Times New Roman"/>
          <w:bCs/>
          <w:sz w:val="28"/>
          <w:szCs w:val="28"/>
        </w:rPr>
      </w:pPr>
      <w:r w:rsidRPr="004E32D2">
        <w:rPr>
          <w:rFonts w:ascii="Times New Roman" w:hAnsi="Times New Roman"/>
          <w:bCs/>
          <w:sz w:val="28"/>
          <w:szCs w:val="28"/>
        </w:rPr>
        <w:t>Program: LL.B (Hon’s)</w:t>
      </w:r>
    </w:p>
    <w:p w:rsidR="00BD6609" w:rsidRPr="004E32D2" w:rsidRDefault="00BD6609" w:rsidP="00BD6609">
      <w:pPr>
        <w:spacing w:after="0" w:line="240" w:lineRule="auto"/>
        <w:rPr>
          <w:rFonts w:ascii="Times New Roman" w:hAnsi="Times New Roman"/>
          <w:bCs/>
          <w:sz w:val="28"/>
          <w:szCs w:val="28"/>
        </w:rPr>
      </w:pPr>
      <w:r w:rsidRPr="004E32D2">
        <w:rPr>
          <w:rFonts w:ascii="Times New Roman" w:hAnsi="Times New Roman"/>
          <w:bCs/>
          <w:sz w:val="28"/>
          <w:szCs w:val="28"/>
        </w:rPr>
        <w:t>Batch: 16A</w:t>
      </w:r>
    </w:p>
    <w:p w:rsidR="00BD6609" w:rsidRPr="004E32D2" w:rsidRDefault="00BD6609" w:rsidP="00BD6609">
      <w:pPr>
        <w:spacing w:after="0" w:line="240" w:lineRule="auto"/>
        <w:rPr>
          <w:rFonts w:ascii="Times New Roman" w:hAnsi="Times New Roman"/>
          <w:bCs/>
          <w:sz w:val="28"/>
          <w:szCs w:val="28"/>
        </w:rPr>
      </w:pPr>
      <w:r w:rsidRPr="004E32D2">
        <w:rPr>
          <w:rFonts w:ascii="Times New Roman" w:hAnsi="Times New Roman"/>
          <w:bCs/>
          <w:sz w:val="28"/>
          <w:szCs w:val="28"/>
        </w:rPr>
        <w:t xml:space="preserve">Department of Law, </w:t>
      </w:r>
    </w:p>
    <w:p w:rsidR="00BD6609" w:rsidRPr="004E32D2" w:rsidRDefault="00BD6609" w:rsidP="00BD6609">
      <w:pPr>
        <w:spacing w:after="0" w:line="240" w:lineRule="auto"/>
        <w:rPr>
          <w:rFonts w:ascii="Times New Roman" w:hAnsi="Times New Roman"/>
          <w:bCs/>
          <w:sz w:val="28"/>
          <w:szCs w:val="28"/>
        </w:rPr>
      </w:pPr>
      <w:r w:rsidRPr="004E32D2">
        <w:rPr>
          <w:rFonts w:ascii="Times New Roman" w:hAnsi="Times New Roman"/>
          <w:bCs/>
          <w:sz w:val="28"/>
          <w:szCs w:val="28"/>
        </w:rPr>
        <w:t>Sonargaon University (SU), Dhaka.</w:t>
      </w:r>
    </w:p>
    <w:p w:rsidR="00BD6609" w:rsidRPr="004E32D2" w:rsidRDefault="00BD6609" w:rsidP="00BD6609">
      <w:pPr>
        <w:spacing w:after="0" w:line="240" w:lineRule="auto"/>
        <w:rPr>
          <w:rFonts w:ascii="Times New Roman" w:hAnsi="Times New Roman"/>
          <w:b/>
          <w:bCs/>
          <w:sz w:val="36"/>
          <w:szCs w:val="36"/>
        </w:rPr>
      </w:pPr>
    </w:p>
    <w:p w:rsidR="00BD6609" w:rsidRPr="004E32D2" w:rsidRDefault="00BD6609" w:rsidP="00BD6609">
      <w:pPr>
        <w:spacing w:after="0" w:line="240" w:lineRule="auto"/>
        <w:rPr>
          <w:rFonts w:ascii="Times New Roman" w:hAnsi="Times New Roman"/>
          <w:b/>
          <w:bCs/>
          <w:sz w:val="36"/>
          <w:szCs w:val="36"/>
        </w:rPr>
      </w:pPr>
      <w:r w:rsidRPr="004E32D2">
        <w:rPr>
          <w:rFonts w:ascii="Times New Roman" w:hAnsi="Times New Roman"/>
          <w:b/>
          <w:bCs/>
          <w:sz w:val="36"/>
          <w:szCs w:val="36"/>
        </w:rPr>
        <w:br w:type="page"/>
      </w:r>
    </w:p>
    <w:p w:rsidR="00BD6609" w:rsidRPr="004E32D2" w:rsidRDefault="00BD6609" w:rsidP="00BD6609">
      <w:pPr>
        <w:spacing w:after="0" w:line="240" w:lineRule="auto"/>
        <w:jc w:val="center"/>
        <w:rPr>
          <w:rFonts w:ascii="Times New Roman" w:hAnsi="Times New Roman"/>
          <w:b/>
          <w:bCs/>
          <w:sz w:val="32"/>
          <w:szCs w:val="36"/>
          <w:u w:val="single"/>
        </w:rPr>
      </w:pPr>
      <w:r w:rsidRPr="004E32D2">
        <w:rPr>
          <w:rFonts w:ascii="Times New Roman" w:hAnsi="Times New Roman"/>
          <w:b/>
          <w:bCs/>
          <w:sz w:val="32"/>
          <w:szCs w:val="36"/>
          <w:u w:val="single"/>
        </w:rPr>
        <w:lastRenderedPageBreak/>
        <w:t>ACKNOWLEDGEMENT</w:t>
      </w:r>
    </w:p>
    <w:p w:rsidR="00BD6609" w:rsidRPr="004E32D2" w:rsidRDefault="00BD6609" w:rsidP="00BD6609">
      <w:pPr>
        <w:spacing w:after="0" w:line="240" w:lineRule="auto"/>
        <w:rPr>
          <w:rFonts w:ascii="Times New Roman" w:hAnsi="Times New Roman"/>
          <w:b/>
          <w:bCs/>
          <w:sz w:val="36"/>
          <w:szCs w:val="36"/>
        </w:rPr>
      </w:pPr>
    </w:p>
    <w:p w:rsidR="00BD6609" w:rsidRPr="004E32D2" w:rsidRDefault="00BD6609" w:rsidP="00BD6609">
      <w:pPr>
        <w:spacing w:after="0" w:line="360" w:lineRule="auto"/>
        <w:jc w:val="both"/>
        <w:rPr>
          <w:rFonts w:ascii="Times New Roman" w:hAnsi="Times New Roman"/>
          <w:sz w:val="26"/>
          <w:szCs w:val="28"/>
        </w:rPr>
      </w:pPr>
      <w:r w:rsidRPr="004E32D2">
        <w:rPr>
          <w:rFonts w:ascii="Times New Roman" w:hAnsi="Times New Roman"/>
          <w:sz w:val="26"/>
          <w:szCs w:val="28"/>
        </w:rPr>
        <w:t xml:space="preserve">At first, I would like to thank Almighty Allah for his kindness on me in accomplishing the report. I would like to express my deep sense of gratitude to my honorable and distinguished supervisor </w:t>
      </w:r>
      <w:r w:rsidRPr="004E32D2">
        <w:rPr>
          <w:rFonts w:ascii="Times New Roman" w:hAnsi="Times New Roman"/>
          <w:bCs/>
          <w:sz w:val="26"/>
          <w:szCs w:val="28"/>
        </w:rPr>
        <w:t xml:space="preserve">Sanjoy Pal, Lecturer &amp; Co-ordinator, Department of Law, Sonargaon University (SU), Dhaka </w:t>
      </w:r>
      <w:r w:rsidRPr="004E32D2">
        <w:rPr>
          <w:rFonts w:ascii="Times New Roman" w:hAnsi="Times New Roman"/>
          <w:sz w:val="26"/>
          <w:szCs w:val="28"/>
        </w:rPr>
        <w:t>for his individual suggestions, valuable time, important information and guidance during the study period that has greatly inspired me in preparing this report successfully.</w:t>
      </w:r>
    </w:p>
    <w:p w:rsidR="00BD6609" w:rsidRPr="004E32D2" w:rsidRDefault="00BD6609" w:rsidP="00BD6609">
      <w:pPr>
        <w:spacing w:after="0" w:line="360" w:lineRule="auto"/>
        <w:jc w:val="both"/>
        <w:rPr>
          <w:rFonts w:ascii="Times New Roman" w:hAnsi="Times New Roman"/>
          <w:sz w:val="26"/>
          <w:szCs w:val="28"/>
        </w:rPr>
      </w:pPr>
    </w:p>
    <w:p w:rsidR="00BD6609" w:rsidRPr="004E32D2" w:rsidRDefault="00BD6609" w:rsidP="00BD6609">
      <w:pPr>
        <w:spacing w:after="0" w:line="360" w:lineRule="auto"/>
        <w:jc w:val="both"/>
        <w:rPr>
          <w:rFonts w:ascii="Times New Roman" w:hAnsi="Times New Roman"/>
          <w:sz w:val="26"/>
          <w:szCs w:val="28"/>
        </w:rPr>
      </w:pPr>
      <w:r w:rsidRPr="004E32D2">
        <w:rPr>
          <w:rFonts w:ascii="Times New Roman" w:hAnsi="Times New Roman"/>
          <w:sz w:val="26"/>
          <w:szCs w:val="28"/>
        </w:rPr>
        <w:t>It could not possible to think all those people who have contributed for the preparation of this report of course there are some very special names that cannot be forgotten. I am also grateful to the Department of Law, Sonargaon University (SU), Dhaka for providing me such an opportunity to come closer to real situation. Finally, I want to express my deep gratitude to my family members and all well wishers whose enormous helps assisted me to complete this report.</w:t>
      </w:r>
    </w:p>
    <w:p w:rsidR="00BD6609" w:rsidRDefault="00BD6609" w:rsidP="00BD6609">
      <w:pPr>
        <w:spacing w:after="0" w:line="240" w:lineRule="auto"/>
        <w:rPr>
          <w:rFonts w:ascii="Times New Roman" w:hAnsi="Times New Roman"/>
          <w:b/>
          <w:bCs/>
          <w:sz w:val="28"/>
          <w:szCs w:val="28"/>
        </w:rPr>
      </w:pPr>
    </w:p>
    <w:p w:rsidR="00BD6609" w:rsidRPr="004E32D2" w:rsidRDefault="00BD6609" w:rsidP="00BD6609">
      <w:pPr>
        <w:spacing w:after="0" w:line="240" w:lineRule="auto"/>
        <w:rPr>
          <w:rFonts w:ascii="Times New Roman" w:hAnsi="Times New Roman"/>
          <w:b/>
          <w:bCs/>
          <w:sz w:val="28"/>
          <w:szCs w:val="28"/>
        </w:rPr>
      </w:pPr>
    </w:p>
    <w:p w:rsidR="00BD6609" w:rsidRPr="004E32D2" w:rsidRDefault="00BD6609" w:rsidP="00BD6609">
      <w:pPr>
        <w:spacing w:after="0" w:line="240" w:lineRule="auto"/>
        <w:rPr>
          <w:rFonts w:ascii="Times New Roman" w:hAnsi="Times New Roman"/>
          <w:b/>
          <w:bCs/>
          <w:sz w:val="28"/>
          <w:szCs w:val="28"/>
        </w:rPr>
      </w:pPr>
      <w:r w:rsidRPr="004E32D2">
        <w:rPr>
          <w:rFonts w:ascii="Times New Roman" w:hAnsi="Times New Roman"/>
          <w:b/>
          <w:bCs/>
          <w:sz w:val="28"/>
          <w:szCs w:val="28"/>
        </w:rPr>
        <w:t>___________________________</w:t>
      </w:r>
    </w:p>
    <w:p w:rsidR="00BD6609" w:rsidRPr="004E32D2" w:rsidRDefault="00BD6609" w:rsidP="00BD6609">
      <w:pPr>
        <w:spacing w:after="0" w:line="240" w:lineRule="auto"/>
        <w:rPr>
          <w:rFonts w:ascii="Times New Roman" w:hAnsi="Times New Roman"/>
          <w:b/>
          <w:bCs/>
          <w:sz w:val="28"/>
          <w:szCs w:val="28"/>
        </w:rPr>
      </w:pPr>
      <w:r>
        <w:rPr>
          <w:rFonts w:ascii="Times New Roman" w:hAnsi="Times New Roman"/>
          <w:b/>
          <w:bCs/>
          <w:sz w:val="28"/>
          <w:szCs w:val="28"/>
        </w:rPr>
        <w:t>Kazi Raj</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 xml:space="preserve">ID: LL.B </w:t>
      </w:r>
      <w:r>
        <w:rPr>
          <w:rFonts w:ascii="Times New Roman" w:hAnsi="Times New Roman"/>
          <w:bCs/>
          <w:sz w:val="26"/>
          <w:szCs w:val="28"/>
        </w:rPr>
        <w:t>1901016039</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Program: LL.B (Hon’s)</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Batch: 16A</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 xml:space="preserve">Department of Law, </w:t>
      </w:r>
    </w:p>
    <w:p w:rsidR="00BD6609" w:rsidRPr="004E32D2" w:rsidRDefault="00BD6609" w:rsidP="00BD6609">
      <w:pPr>
        <w:spacing w:after="0" w:line="240" w:lineRule="auto"/>
        <w:rPr>
          <w:rFonts w:ascii="Times New Roman" w:hAnsi="Times New Roman"/>
          <w:bCs/>
          <w:sz w:val="26"/>
          <w:szCs w:val="28"/>
        </w:rPr>
      </w:pPr>
      <w:r w:rsidRPr="004E32D2">
        <w:rPr>
          <w:rFonts w:ascii="Times New Roman" w:hAnsi="Times New Roman"/>
          <w:bCs/>
          <w:sz w:val="26"/>
          <w:szCs w:val="28"/>
        </w:rPr>
        <w:t>Sonargaon University (SU), Dhaka.</w:t>
      </w:r>
    </w:p>
    <w:p w:rsidR="00BD6609" w:rsidRPr="004E32D2" w:rsidRDefault="00BD6609" w:rsidP="00BD6609">
      <w:pPr>
        <w:spacing w:after="0" w:line="240" w:lineRule="auto"/>
        <w:rPr>
          <w:rFonts w:ascii="Times New Roman" w:hAnsi="Times New Roman"/>
          <w:b/>
          <w:bCs/>
          <w:sz w:val="28"/>
          <w:szCs w:val="28"/>
        </w:rPr>
      </w:pPr>
      <w:r w:rsidRPr="004E32D2">
        <w:rPr>
          <w:rFonts w:ascii="Times New Roman" w:hAnsi="Times New Roman"/>
          <w:b/>
          <w:bCs/>
          <w:sz w:val="28"/>
          <w:szCs w:val="28"/>
        </w:rPr>
        <w:br w:type="page"/>
      </w:r>
    </w:p>
    <w:p w:rsidR="00BD6609" w:rsidRPr="009F3824" w:rsidRDefault="00BD6609" w:rsidP="00BD6609">
      <w:pPr>
        <w:shd w:val="clear" w:color="auto" w:fill="FFFFFF"/>
        <w:spacing w:before="300" w:after="75" w:line="450" w:lineRule="atLeast"/>
        <w:jc w:val="center"/>
        <w:outlineLvl w:val="2"/>
        <w:rPr>
          <w:rFonts w:ascii="NexusSansWebPro" w:eastAsia="Times New Roman" w:hAnsi="NexusSansWebPro" w:cs="Times New Roman"/>
          <w:b/>
          <w:bCs/>
          <w:color w:val="222222"/>
          <w:sz w:val="30"/>
          <w:szCs w:val="30"/>
          <w:u w:val="single"/>
        </w:rPr>
      </w:pPr>
      <w:r w:rsidRPr="009F3824">
        <w:rPr>
          <w:rFonts w:ascii="NexusSansWebPro" w:eastAsia="Times New Roman" w:hAnsi="NexusSansWebPro" w:cs="Times New Roman"/>
          <w:b/>
          <w:bCs/>
          <w:color w:val="222222"/>
          <w:sz w:val="30"/>
          <w:szCs w:val="30"/>
          <w:u w:val="single"/>
        </w:rPr>
        <w:lastRenderedPageBreak/>
        <w:t>Abstract</w:t>
      </w:r>
    </w:p>
    <w:p w:rsidR="00BD6609" w:rsidRDefault="00BD6609" w:rsidP="00BD6609">
      <w:pPr>
        <w:shd w:val="clear" w:color="auto" w:fill="FFFFFF"/>
        <w:spacing w:after="150" w:line="330" w:lineRule="atLeast"/>
        <w:jc w:val="both"/>
        <w:rPr>
          <w:rFonts w:ascii="Times New Roman" w:eastAsia="Times New Roman" w:hAnsi="Times New Roman" w:cs="Times New Roman"/>
          <w:color w:val="505050"/>
          <w:sz w:val="24"/>
          <w:szCs w:val="24"/>
        </w:rPr>
      </w:pPr>
    </w:p>
    <w:p w:rsidR="00BD6609" w:rsidRPr="00C47EDA" w:rsidRDefault="00BD6609" w:rsidP="00BD6609">
      <w:pPr>
        <w:shd w:val="clear" w:color="auto" w:fill="FFFFFF"/>
        <w:spacing w:after="150" w:line="480" w:lineRule="auto"/>
        <w:jc w:val="both"/>
        <w:rPr>
          <w:rFonts w:ascii="Times New Roman" w:eastAsia="Times New Roman" w:hAnsi="Times New Roman" w:cs="Times New Roman"/>
          <w:sz w:val="24"/>
          <w:szCs w:val="24"/>
        </w:rPr>
      </w:pPr>
      <w:r w:rsidRPr="00C47EDA">
        <w:rPr>
          <w:rFonts w:ascii="Times New Roman" w:eastAsia="Times New Roman" w:hAnsi="Times New Roman" w:cs="Times New Roman"/>
          <w:sz w:val="24"/>
          <w:szCs w:val="24"/>
        </w:rPr>
        <w:t xml:space="preserve">The main objective of this term paper is to identify mechanisms and processes for the enforcement of the human rights treaties ratified by Bangladesh. Enforcement of human rights treaties requires a range of compliance mechanisms and strategies at the international and national level. National compliance processes and mechanisms for enforcement of human rights treaty obligations require coordinated action by all three organs of the state. While Bangladesh has ratified or acceded to most universal human rights treaties, it has not achieved full compliance with them. Bangladesh should adopt necessary legislative, policy, administrative and institutional measures to fully comply with the obligations it has assumed under these treaties. The article examines the body of jurisprudence on interpretation on human rights treaties developed by the judiciary in Bangladesh. It concludes that a more liberal and robust approach by the judiciary is needed to ensure greater compliance with human rights norms in Bangladesh. This article surveys legislative measures adopted by Bangladesh to comply with human rights treaty obligations and role of judiciary and national institutions of human rights to enforce the human rights treaties ratified by it. </w:t>
      </w:r>
      <w:r w:rsidRPr="00C47EDA">
        <w:rPr>
          <w:rFonts w:ascii="Times New Roman" w:hAnsi="Times New Roman" w:cs="Times New Roman"/>
          <w:sz w:val="24"/>
          <w:szCs w:val="24"/>
        </w:rPr>
        <w:t>Regional human rights protection mechanisms constitute important pillars of the international system for the promotion and protection of human rights. At the current state five regional human rights mechanisms can be distinguished varying significantly from a very advanced human rights protection system to an emerging one.</w:t>
      </w:r>
    </w:p>
    <w:p w:rsidR="00BD6609" w:rsidRPr="00ED43B1" w:rsidRDefault="00BD6609" w:rsidP="00BD6609"/>
    <w:p w:rsidR="00BD6609" w:rsidRPr="00ED43B1" w:rsidRDefault="00BD6609" w:rsidP="00BD6609">
      <w:pPr>
        <w:rPr>
          <w:rFonts w:ascii="Times New Roman" w:hAnsi="Times New Roman" w:cs="Times New Roman"/>
          <w:sz w:val="24"/>
          <w:szCs w:val="24"/>
        </w:rPr>
      </w:pPr>
      <w:r w:rsidRPr="00ED43B1">
        <w:t xml:space="preserve"> </w:t>
      </w:r>
    </w:p>
    <w:p w:rsidR="00BD6609" w:rsidRDefault="00BD6609" w:rsidP="00BD6609">
      <w:pPr>
        <w:rPr>
          <w:rFonts w:ascii="Times New Roman" w:hAnsi="Times New Roman" w:cs="Times New Roman"/>
          <w:sz w:val="24"/>
          <w:szCs w:val="24"/>
        </w:rPr>
      </w:pPr>
    </w:p>
    <w:p w:rsidR="00BD6609" w:rsidRDefault="00BD6609" w:rsidP="00BD6609">
      <w:pPr>
        <w:rPr>
          <w:rFonts w:ascii="Times New Roman" w:hAnsi="Times New Roman" w:cs="Times New Roman"/>
          <w:sz w:val="24"/>
          <w:szCs w:val="24"/>
        </w:rPr>
      </w:pPr>
    </w:p>
    <w:p w:rsidR="00BD6609" w:rsidRPr="003F4539" w:rsidRDefault="00BD6609" w:rsidP="00BD6609">
      <w:pPr>
        <w:spacing w:line="240" w:lineRule="auto"/>
        <w:jc w:val="center"/>
        <w:rPr>
          <w:rFonts w:ascii="Times New Roman" w:hAnsi="Times New Roman" w:cs="Times New Roman"/>
          <w:b/>
          <w:sz w:val="32"/>
          <w:szCs w:val="32"/>
          <w:u w:val="single"/>
        </w:rPr>
      </w:pPr>
      <w:r w:rsidRPr="003F4539">
        <w:rPr>
          <w:rFonts w:ascii="Times New Roman" w:hAnsi="Times New Roman" w:cs="Times New Roman"/>
          <w:b/>
          <w:sz w:val="32"/>
          <w:szCs w:val="32"/>
          <w:u w:val="single"/>
        </w:rPr>
        <w:lastRenderedPageBreak/>
        <w:t>Table of Contents</w:t>
      </w:r>
    </w:p>
    <w:tbl>
      <w:tblPr>
        <w:tblStyle w:val="TableGrid"/>
        <w:tblW w:w="0" w:type="auto"/>
        <w:tblLook w:val="04A0"/>
      </w:tblPr>
      <w:tblGrid>
        <w:gridCol w:w="9576"/>
      </w:tblGrid>
      <w:tr w:rsidR="00BD6609" w:rsidRPr="00FB53D5" w:rsidTr="004913F3">
        <w:tc>
          <w:tcPr>
            <w:tcW w:w="9576" w:type="dxa"/>
          </w:tcPr>
          <w:p w:rsidR="00BD6609" w:rsidRPr="00FB53D5" w:rsidRDefault="00BD6609" w:rsidP="004913F3">
            <w:pPr>
              <w:rPr>
                <w:rFonts w:ascii="Times New Roman" w:hAnsi="Times New Roman" w:cs="Times New Roman"/>
                <w:sz w:val="24"/>
                <w:szCs w:val="24"/>
              </w:rPr>
            </w:pPr>
            <w:r>
              <w:rPr>
                <w:rFonts w:ascii="Times New Roman" w:hAnsi="Times New Roman" w:cs="Times New Roman"/>
                <w:sz w:val="24"/>
                <w:szCs w:val="24"/>
              </w:rPr>
              <w:t xml:space="preserve">                                                                     Chapter 1                                                               Page </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1.1 Introduction</w:t>
            </w:r>
            <w:r>
              <w:rPr>
                <w:rFonts w:ascii="Times New Roman" w:hAnsi="Times New Roman" w:cs="Times New Roman"/>
                <w:sz w:val="24"/>
                <w:szCs w:val="24"/>
              </w:rPr>
              <w:t xml:space="preserve">                                                                                                                             </w:t>
            </w:r>
            <w:r w:rsidRPr="001E2CA2">
              <w:rPr>
                <w:rFonts w:ascii="Times New Roman" w:hAnsi="Times New Roman" w:cs="Times New Roman"/>
                <w:sz w:val="20"/>
                <w:szCs w:val="20"/>
              </w:rPr>
              <w:t>1</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1.2 Objectives</w:t>
            </w:r>
            <w:r>
              <w:rPr>
                <w:rFonts w:ascii="Times New Roman" w:hAnsi="Times New Roman" w:cs="Times New Roman"/>
                <w:sz w:val="24"/>
                <w:szCs w:val="24"/>
              </w:rPr>
              <w:t xml:space="preserve">                                                                                                                                </w:t>
            </w:r>
            <w:r w:rsidRPr="001E2CA2">
              <w:rPr>
                <w:rFonts w:ascii="Times New Roman" w:hAnsi="Times New Roman" w:cs="Times New Roman"/>
                <w:sz w:val="20"/>
                <w:szCs w:val="20"/>
              </w:rPr>
              <w:t xml:space="preserve"> 2</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1.3 Methodology</w:t>
            </w:r>
            <w:r>
              <w:rPr>
                <w:rFonts w:ascii="Times New Roman" w:hAnsi="Times New Roman" w:cs="Times New Roman"/>
                <w:sz w:val="24"/>
                <w:szCs w:val="24"/>
              </w:rPr>
              <w:t xml:space="preserve">                                                                                                                            </w:t>
            </w:r>
            <w:r w:rsidRPr="001E2CA2">
              <w:rPr>
                <w:rFonts w:ascii="Times New Roman" w:hAnsi="Times New Roman" w:cs="Times New Roman"/>
                <w:sz w:val="20"/>
                <w:szCs w:val="20"/>
              </w:rPr>
              <w:t>2</w:t>
            </w:r>
          </w:p>
        </w:tc>
      </w:tr>
      <w:tr w:rsidR="00BD6609" w:rsidRPr="00FB53D5" w:rsidTr="004913F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trPr>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1.2 Research limitation/ Enforcement</w:t>
            </w:r>
            <w:r>
              <w:rPr>
                <w:rFonts w:ascii="Times New Roman" w:hAnsi="Times New Roman" w:cs="Times New Roman"/>
                <w:sz w:val="24"/>
                <w:szCs w:val="24"/>
              </w:rPr>
              <w:t xml:space="preserve">                                                                                           </w:t>
            </w:r>
            <w:r w:rsidRPr="001E2CA2">
              <w:rPr>
                <w:rFonts w:ascii="Times New Roman" w:hAnsi="Times New Roman" w:cs="Times New Roman"/>
                <w:sz w:val="20"/>
                <w:szCs w:val="20"/>
              </w:rPr>
              <w:t xml:space="preserve"> 2</w:t>
            </w:r>
          </w:p>
        </w:tc>
      </w:tr>
    </w:tbl>
    <w:p w:rsidR="00BD6609" w:rsidRPr="00DA535F" w:rsidRDefault="00BD6609" w:rsidP="00BD6609">
      <w:pPr>
        <w:jc w:val="both"/>
        <w:rPr>
          <w:rFonts w:ascii="Times New Roman" w:hAnsi="Times New Roman" w:cs="Times New Roman"/>
          <w:sz w:val="6"/>
          <w:szCs w:val="24"/>
        </w:rPr>
      </w:pPr>
    </w:p>
    <w:tbl>
      <w:tblPr>
        <w:tblStyle w:val="TableGrid"/>
        <w:tblW w:w="0" w:type="auto"/>
        <w:tblLook w:val="04A0"/>
      </w:tblPr>
      <w:tblGrid>
        <w:gridCol w:w="9576"/>
      </w:tblGrid>
      <w:tr w:rsidR="00BD6609" w:rsidRPr="00FB53D5" w:rsidTr="004913F3">
        <w:tc>
          <w:tcPr>
            <w:tcW w:w="9576" w:type="dxa"/>
          </w:tcPr>
          <w:p w:rsidR="00BD6609" w:rsidRPr="00FB53D5" w:rsidRDefault="00BD6609" w:rsidP="004913F3">
            <w:pPr>
              <w:jc w:val="center"/>
              <w:rPr>
                <w:rFonts w:ascii="Times New Roman" w:hAnsi="Times New Roman" w:cs="Times New Roman"/>
                <w:sz w:val="24"/>
                <w:szCs w:val="24"/>
              </w:rPr>
            </w:pPr>
            <w:r w:rsidRPr="00FB53D5">
              <w:rPr>
                <w:rFonts w:ascii="Times New Roman" w:hAnsi="Times New Roman" w:cs="Times New Roman"/>
                <w:sz w:val="24"/>
                <w:szCs w:val="24"/>
              </w:rPr>
              <w:t>Chapter 2</w:t>
            </w:r>
          </w:p>
        </w:tc>
      </w:tr>
      <w:tr w:rsidR="00BD6609" w:rsidRPr="00FB53D5" w:rsidTr="004913F3">
        <w:tc>
          <w:tcPr>
            <w:tcW w:w="9576" w:type="dxa"/>
          </w:tcPr>
          <w:p w:rsidR="00BD6609" w:rsidRPr="00FB53D5" w:rsidRDefault="00BD6609" w:rsidP="004913F3">
            <w:pPr>
              <w:jc w:val="center"/>
              <w:rPr>
                <w:rFonts w:ascii="Times New Roman" w:hAnsi="Times New Roman" w:cs="Times New Roman"/>
                <w:sz w:val="24"/>
                <w:szCs w:val="24"/>
              </w:rPr>
            </w:pPr>
            <w:r w:rsidRPr="00FB53D5">
              <w:rPr>
                <w:rFonts w:ascii="Times New Roman" w:hAnsi="Times New Roman" w:cs="Times New Roman"/>
                <w:sz w:val="24"/>
                <w:szCs w:val="24"/>
              </w:rPr>
              <w:t>Enforcement mechanism</w:t>
            </w:r>
          </w:p>
        </w:tc>
      </w:tr>
      <w:tr w:rsidR="00BD6609" w:rsidRPr="00FB53D5" w:rsidTr="004913F3">
        <w:tc>
          <w:tcPr>
            <w:tcW w:w="9576" w:type="dxa"/>
          </w:tcPr>
          <w:p w:rsidR="00BD6609" w:rsidRPr="00FB53D5" w:rsidRDefault="00BD6609" w:rsidP="004913F3">
            <w:pPr>
              <w:tabs>
                <w:tab w:val="left" w:pos="1500"/>
              </w:tabs>
              <w:jc w:val="both"/>
              <w:rPr>
                <w:rFonts w:ascii="Times New Roman" w:hAnsi="Times New Roman" w:cs="Times New Roman"/>
                <w:sz w:val="24"/>
                <w:szCs w:val="24"/>
              </w:rPr>
            </w:pPr>
            <w:r w:rsidRPr="00FB53D5">
              <w:rPr>
                <w:rFonts w:ascii="Times New Roman" w:hAnsi="Times New Roman" w:cs="Times New Roman"/>
                <w:sz w:val="24"/>
                <w:szCs w:val="24"/>
              </w:rPr>
              <w:t>2.1 Introduction</w:t>
            </w:r>
            <w:r>
              <w:rPr>
                <w:rFonts w:ascii="Times New Roman" w:hAnsi="Times New Roman" w:cs="Times New Roman"/>
                <w:sz w:val="24"/>
                <w:szCs w:val="24"/>
              </w:rPr>
              <w:t xml:space="preserve">                                                                                                                              </w:t>
            </w:r>
            <w:r w:rsidRPr="001E2CA2">
              <w:rPr>
                <w:rFonts w:ascii="Times New Roman" w:hAnsi="Times New Roman" w:cs="Times New Roman"/>
                <w:sz w:val="20"/>
                <w:szCs w:val="20"/>
              </w:rPr>
              <w:t>3</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 xml:space="preserve">2.2 Evolution Enforcement mechanism </w:t>
            </w:r>
            <w:r>
              <w:rPr>
                <w:rFonts w:ascii="Times New Roman" w:hAnsi="Times New Roman" w:cs="Times New Roman"/>
                <w:sz w:val="24"/>
                <w:szCs w:val="24"/>
              </w:rPr>
              <w:t xml:space="preserve">                                                                                       </w:t>
            </w:r>
            <w:r w:rsidRPr="001E2CA2">
              <w:rPr>
                <w:rFonts w:ascii="Times New Roman" w:hAnsi="Times New Roman" w:cs="Times New Roman"/>
                <w:sz w:val="20"/>
                <w:szCs w:val="20"/>
              </w:rPr>
              <w:t>3-4</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2.3 Types of enforcement mechanism</w:t>
            </w:r>
            <w:r>
              <w:rPr>
                <w:rFonts w:ascii="Times New Roman" w:hAnsi="Times New Roman" w:cs="Times New Roman"/>
                <w:sz w:val="24"/>
                <w:szCs w:val="24"/>
              </w:rPr>
              <w:t xml:space="preserve">                                                                                          </w:t>
            </w:r>
            <w:r w:rsidRPr="001E2CA2">
              <w:rPr>
                <w:rFonts w:ascii="Times New Roman" w:hAnsi="Times New Roman" w:cs="Times New Roman"/>
                <w:sz w:val="20"/>
                <w:szCs w:val="20"/>
              </w:rPr>
              <w:t>4-6</w:t>
            </w:r>
          </w:p>
        </w:tc>
      </w:tr>
    </w:tbl>
    <w:p w:rsidR="00BD6609" w:rsidRPr="00FB53D5" w:rsidRDefault="00BD6609" w:rsidP="00BD6609">
      <w:pPr>
        <w:jc w:val="both"/>
        <w:rPr>
          <w:rFonts w:ascii="Times New Roman" w:hAnsi="Times New Roman" w:cs="Times New Roman"/>
          <w:sz w:val="24"/>
          <w:szCs w:val="24"/>
        </w:rPr>
      </w:pPr>
    </w:p>
    <w:tbl>
      <w:tblPr>
        <w:tblStyle w:val="TableGrid"/>
        <w:tblW w:w="0" w:type="auto"/>
        <w:tblLook w:val="04A0"/>
      </w:tblPr>
      <w:tblGrid>
        <w:gridCol w:w="9576"/>
      </w:tblGrid>
      <w:tr w:rsidR="00BD6609" w:rsidRPr="00FB53D5" w:rsidTr="004913F3">
        <w:tc>
          <w:tcPr>
            <w:tcW w:w="9576" w:type="dxa"/>
          </w:tcPr>
          <w:p w:rsidR="00BD6609" w:rsidRPr="00FB53D5" w:rsidRDefault="00BD6609" w:rsidP="004913F3">
            <w:pPr>
              <w:jc w:val="center"/>
              <w:rPr>
                <w:rFonts w:ascii="Times New Roman" w:hAnsi="Times New Roman" w:cs="Times New Roman"/>
                <w:sz w:val="24"/>
                <w:szCs w:val="24"/>
              </w:rPr>
            </w:pPr>
            <w:r w:rsidRPr="00FB53D5">
              <w:rPr>
                <w:rFonts w:ascii="Times New Roman" w:hAnsi="Times New Roman" w:cs="Times New Roman"/>
                <w:sz w:val="24"/>
                <w:szCs w:val="24"/>
              </w:rPr>
              <w:t>Chapter  3</w:t>
            </w:r>
          </w:p>
        </w:tc>
      </w:tr>
      <w:tr w:rsidR="00BD6609" w:rsidRPr="00FB53D5" w:rsidTr="004913F3">
        <w:tc>
          <w:tcPr>
            <w:tcW w:w="9576" w:type="dxa"/>
          </w:tcPr>
          <w:p w:rsidR="00BD6609" w:rsidRPr="00FB53D5" w:rsidRDefault="00BD6609" w:rsidP="004913F3">
            <w:pPr>
              <w:jc w:val="center"/>
              <w:rPr>
                <w:rFonts w:ascii="Times New Roman" w:hAnsi="Times New Roman" w:cs="Times New Roman"/>
                <w:sz w:val="24"/>
                <w:szCs w:val="24"/>
              </w:rPr>
            </w:pPr>
            <w:r w:rsidRPr="00FB53D5">
              <w:rPr>
                <w:rFonts w:ascii="Times New Roman" w:hAnsi="Times New Roman" w:cs="Times New Roman"/>
                <w:sz w:val="24"/>
                <w:szCs w:val="24"/>
              </w:rPr>
              <w:t>International arena</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3.1 Introduction</w:t>
            </w:r>
            <w:r>
              <w:rPr>
                <w:rFonts w:ascii="Times New Roman" w:hAnsi="Times New Roman" w:cs="Times New Roman"/>
                <w:sz w:val="24"/>
                <w:szCs w:val="24"/>
              </w:rPr>
              <w:t xml:space="preserve">                                                                                                                              </w:t>
            </w:r>
            <w:r w:rsidRPr="001E2CA2">
              <w:rPr>
                <w:rFonts w:ascii="Times New Roman" w:hAnsi="Times New Roman" w:cs="Times New Roman"/>
                <w:sz w:val="20"/>
                <w:szCs w:val="20"/>
              </w:rPr>
              <w:t>7</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 xml:space="preserve">3.2 The UN Charter-based Mechanisms  </w:t>
            </w:r>
            <w:r>
              <w:rPr>
                <w:rFonts w:ascii="Times New Roman" w:hAnsi="Times New Roman" w:cs="Times New Roman"/>
                <w:sz w:val="24"/>
                <w:szCs w:val="24"/>
              </w:rPr>
              <w:t xml:space="preserve">                                                                                     </w:t>
            </w:r>
            <w:r w:rsidRPr="001E2CA2">
              <w:rPr>
                <w:rFonts w:ascii="Times New Roman" w:hAnsi="Times New Roman" w:cs="Times New Roman"/>
                <w:sz w:val="20"/>
                <w:szCs w:val="20"/>
              </w:rPr>
              <w:t>7-9</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3.3 The Complaint Procedures of UN on Human Rights</w:t>
            </w:r>
            <w:r>
              <w:rPr>
                <w:rFonts w:ascii="Times New Roman" w:hAnsi="Times New Roman" w:cs="Times New Roman"/>
                <w:sz w:val="24"/>
                <w:szCs w:val="24"/>
              </w:rPr>
              <w:t xml:space="preserve">                                                            </w:t>
            </w:r>
            <w:r w:rsidRPr="001E2CA2">
              <w:rPr>
                <w:rFonts w:ascii="Times New Roman" w:hAnsi="Times New Roman" w:cs="Times New Roman"/>
                <w:sz w:val="20"/>
                <w:szCs w:val="20"/>
              </w:rPr>
              <w:t>9-10</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 xml:space="preserve">3.4  The UN Treaty-based Mechanisms  </w:t>
            </w:r>
            <w:r>
              <w:rPr>
                <w:rFonts w:ascii="Times New Roman" w:hAnsi="Times New Roman" w:cs="Times New Roman"/>
                <w:sz w:val="24"/>
                <w:szCs w:val="24"/>
              </w:rPr>
              <w:t xml:space="preserve">                                                                                   </w:t>
            </w:r>
            <w:r w:rsidRPr="001E2CA2">
              <w:rPr>
                <w:rFonts w:ascii="Times New Roman" w:hAnsi="Times New Roman" w:cs="Times New Roman"/>
                <w:sz w:val="20"/>
                <w:szCs w:val="20"/>
              </w:rPr>
              <w:t>10-11</w:t>
            </w:r>
          </w:p>
        </w:tc>
      </w:tr>
    </w:tbl>
    <w:p w:rsidR="00BD6609" w:rsidRPr="00FB53D5" w:rsidRDefault="00BD6609" w:rsidP="00BD6609">
      <w:pPr>
        <w:jc w:val="both"/>
        <w:rPr>
          <w:rFonts w:ascii="Times New Roman" w:hAnsi="Times New Roman" w:cs="Times New Roman"/>
          <w:sz w:val="24"/>
          <w:szCs w:val="24"/>
        </w:rPr>
      </w:pPr>
    </w:p>
    <w:tbl>
      <w:tblPr>
        <w:tblStyle w:val="TableGrid"/>
        <w:tblW w:w="0" w:type="auto"/>
        <w:tblLook w:val="04A0"/>
      </w:tblPr>
      <w:tblGrid>
        <w:gridCol w:w="9576"/>
      </w:tblGrid>
      <w:tr w:rsidR="00BD6609" w:rsidRPr="00FB53D5" w:rsidTr="004913F3">
        <w:tc>
          <w:tcPr>
            <w:tcW w:w="9576" w:type="dxa"/>
          </w:tcPr>
          <w:p w:rsidR="00BD6609" w:rsidRPr="00FB53D5" w:rsidRDefault="00BD6609" w:rsidP="004913F3">
            <w:pPr>
              <w:jc w:val="center"/>
              <w:rPr>
                <w:rFonts w:ascii="Times New Roman" w:hAnsi="Times New Roman" w:cs="Times New Roman"/>
                <w:sz w:val="24"/>
                <w:szCs w:val="24"/>
              </w:rPr>
            </w:pPr>
            <w:r w:rsidRPr="00FB53D5">
              <w:rPr>
                <w:rFonts w:ascii="Times New Roman" w:hAnsi="Times New Roman" w:cs="Times New Roman"/>
                <w:sz w:val="24"/>
                <w:szCs w:val="24"/>
              </w:rPr>
              <w:t>Chapter 4</w:t>
            </w:r>
          </w:p>
        </w:tc>
      </w:tr>
      <w:tr w:rsidR="00BD6609" w:rsidRPr="00FB53D5" w:rsidTr="004913F3">
        <w:tc>
          <w:tcPr>
            <w:tcW w:w="9576" w:type="dxa"/>
          </w:tcPr>
          <w:p w:rsidR="00BD6609" w:rsidRPr="00FB53D5" w:rsidRDefault="00BD6609" w:rsidP="004913F3">
            <w:pPr>
              <w:jc w:val="center"/>
              <w:rPr>
                <w:rFonts w:ascii="Times New Roman" w:hAnsi="Times New Roman" w:cs="Times New Roman"/>
                <w:sz w:val="24"/>
                <w:szCs w:val="24"/>
              </w:rPr>
            </w:pPr>
            <w:r w:rsidRPr="00FB53D5">
              <w:rPr>
                <w:rFonts w:ascii="Times New Roman" w:hAnsi="Times New Roman" w:cs="Times New Roman"/>
                <w:sz w:val="24"/>
                <w:szCs w:val="24"/>
              </w:rPr>
              <w:t>Enforcement Mechanism of Human Rights in Bangladesh</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4.1 Introduction</w:t>
            </w:r>
            <w:r>
              <w:rPr>
                <w:rFonts w:ascii="Times New Roman" w:hAnsi="Times New Roman" w:cs="Times New Roman"/>
                <w:sz w:val="24"/>
                <w:szCs w:val="24"/>
              </w:rPr>
              <w:t xml:space="preserve">                                                                                                                             </w:t>
            </w:r>
            <w:r w:rsidRPr="001E2CA2">
              <w:rPr>
                <w:rFonts w:ascii="Times New Roman" w:hAnsi="Times New Roman" w:cs="Times New Roman"/>
                <w:sz w:val="20"/>
                <w:szCs w:val="20"/>
              </w:rPr>
              <w:t>12</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4.2  Implementation of Human Rights under the Bangladesh Constitution</w:t>
            </w:r>
            <w:r>
              <w:rPr>
                <w:rFonts w:ascii="Times New Roman" w:hAnsi="Times New Roman" w:cs="Times New Roman"/>
                <w:sz w:val="24"/>
                <w:szCs w:val="24"/>
              </w:rPr>
              <w:t xml:space="preserve">                              </w:t>
            </w:r>
            <w:r w:rsidRPr="001E2CA2">
              <w:rPr>
                <w:rFonts w:ascii="Times New Roman" w:hAnsi="Times New Roman" w:cs="Times New Roman"/>
                <w:sz w:val="20"/>
                <w:szCs w:val="20"/>
              </w:rPr>
              <w:t>12-13</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4.3  Enforcement  through Public Interest Litigation (PIL)</w:t>
            </w:r>
            <w:r>
              <w:rPr>
                <w:rFonts w:ascii="Times New Roman" w:hAnsi="Times New Roman" w:cs="Times New Roman"/>
                <w:sz w:val="24"/>
                <w:szCs w:val="24"/>
              </w:rPr>
              <w:t xml:space="preserve">                                                       </w:t>
            </w:r>
            <w:r w:rsidRPr="001E2CA2">
              <w:rPr>
                <w:rFonts w:ascii="Times New Roman" w:hAnsi="Times New Roman" w:cs="Times New Roman"/>
                <w:sz w:val="20"/>
                <w:szCs w:val="20"/>
              </w:rPr>
              <w:t>13-14</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 xml:space="preserve">4.4  Enacting National Laws in Conformity with International Instruments </w:t>
            </w:r>
            <w:r>
              <w:rPr>
                <w:rFonts w:ascii="Times New Roman" w:hAnsi="Times New Roman" w:cs="Times New Roman"/>
                <w:sz w:val="24"/>
                <w:szCs w:val="24"/>
              </w:rPr>
              <w:t xml:space="preserve">                            </w:t>
            </w:r>
            <w:r w:rsidRPr="001E2CA2">
              <w:rPr>
                <w:rFonts w:ascii="Times New Roman" w:hAnsi="Times New Roman" w:cs="Times New Roman"/>
                <w:sz w:val="20"/>
                <w:szCs w:val="20"/>
              </w:rPr>
              <w:t>14</w:t>
            </w:r>
            <w:r>
              <w:rPr>
                <w:rFonts w:ascii="Times New Roman" w:hAnsi="Times New Roman" w:cs="Times New Roman"/>
                <w:sz w:val="20"/>
                <w:szCs w:val="20"/>
              </w:rPr>
              <w:t>-15</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 xml:space="preserve">4.5  Ratification/Accession to International Human Rights Instruments </w:t>
            </w:r>
            <w:r>
              <w:rPr>
                <w:rFonts w:ascii="Times New Roman" w:hAnsi="Times New Roman" w:cs="Times New Roman"/>
                <w:sz w:val="24"/>
                <w:szCs w:val="24"/>
              </w:rPr>
              <w:t xml:space="preserve">                                  </w:t>
            </w:r>
            <w:r w:rsidRPr="001E2CA2">
              <w:rPr>
                <w:rFonts w:ascii="Times New Roman" w:hAnsi="Times New Roman" w:cs="Times New Roman"/>
                <w:sz w:val="20"/>
                <w:szCs w:val="20"/>
              </w:rPr>
              <w:t>15-16</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4.6 Application of International Human Rights Law in Domestic Courts</w:t>
            </w:r>
            <w:r>
              <w:rPr>
                <w:rFonts w:ascii="Times New Roman" w:hAnsi="Times New Roman" w:cs="Times New Roman"/>
                <w:sz w:val="24"/>
                <w:szCs w:val="24"/>
              </w:rPr>
              <w:t xml:space="preserve">                                 </w:t>
            </w:r>
            <w:r w:rsidRPr="001E2CA2">
              <w:rPr>
                <w:rFonts w:ascii="Times New Roman" w:hAnsi="Times New Roman" w:cs="Times New Roman"/>
                <w:sz w:val="20"/>
                <w:szCs w:val="20"/>
              </w:rPr>
              <w:t>16-17</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 xml:space="preserve">4.7 Enforcement through Legislative and Policy Framework </w:t>
            </w:r>
            <w:r>
              <w:rPr>
                <w:rFonts w:ascii="Times New Roman" w:hAnsi="Times New Roman" w:cs="Times New Roman"/>
                <w:sz w:val="24"/>
                <w:szCs w:val="24"/>
              </w:rPr>
              <w:t xml:space="preserve">                                                  </w:t>
            </w:r>
            <w:r w:rsidRPr="001E2CA2">
              <w:rPr>
                <w:rFonts w:ascii="Times New Roman" w:hAnsi="Times New Roman" w:cs="Times New Roman"/>
                <w:sz w:val="20"/>
                <w:szCs w:val="20"/>
              </w:rPr>
              <w:t>17-18</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sidRPr="00FB53D5">
              <w:rPr>
                <w:rFonts w:ascii="Times New Roman" w:hAnsi="Times New Roman" w:cs="Times New Roman"/>
                <w:sz w:val="24"/>
                <w:szCs w:val="24"/>
              </w:rPr>
              <w:t>4.8 Enforcement under the Institutional Framework</w:t>
            </w:r>
            <w:r>
              <w:rPr>
                <w:rFonts w:ascii="Times New Roman" w:hAnsi="Times New Roman" w:cs="Times New Roman"/>
                <w:sz w:val="24"/>
                <w:szCs w:val="24"/>
              </w:rPr>
              <w:t xml:space="preserve">                                                                 </w:t>
            </w:r>
            <w:r w:rsidRPr="001E2CA2">
              <w:rPr>
                <w:rFonts w:ascii="Times New Roman" w:hAnsi="Times New Roman" w:cs="Times New Roman"/>
                <w:sz w:val="20"/>
                <w:szCs w:val="20"/>
              </w:rPr>
              <w:t>18-19</w:t>
            </w:r>
          </w:p>
        </w:tc>
      </w:tr>
    </w:tbl>
    <w:p w:rsidR="00BD6609" w:rsidRPr="003F4539" w:rsidRDefault="00BD6609" w:rsidP="00BD6609">
      <w:pPr>
        <w:jc w:val="both"/>
        <w:rPr>
          <w:rFonts w:ascii="Times New Roman" w:hAnsi="Times New Roman" w:cs="Times New Roman"/>
          <w:sz w:val="8"/>
          <w:szCs w:val="24"/>
        </w:rPr>
      </w:pPr>
    </w:p>
    <w:tbl>
      <w:tblPr>
        <w:tblStyle w:val="TableGrid"/>
        <w:tblW w:w="0" w:type="auto"/>
        <w:tblLook w:val="04A0"/>
      </w:tblPr>
      <w:tblGrid>
        <w:gridCol w:w="9576"/>
      </w:tblGrid>
      <w:tr w:rsidR="00BD6609" w:rsidRPr="00C424D0" w:rsidTr="004913F3">
        <w:tc>
          <w:tcPr>
            <w:tcW w:w="9576" w:type="dxa"/>
          </w:tcPr>
          <w:p w:rsidR="00BD6609" w:rsidRPr="003F4539" w:rsidRDefault="00BD6609" w:rsidP="004913F3">
            <w:pPr>
              <w:shd w:val="clear" w:color="auto" w:fill="FFFFFF"/>
              <w:jc w:val="center"/>
              <w:rPr>
                <w:rFonts w:ascii="Times New Roman" w:hAnsi="Times New Roman"/>
                <w:bCs/>
                <w:sz w:val="26"/>
                <w:szCs w:val="32"/>
                <w:u w:val="single"/>
              </w:rPr>
            </w:pPr>
            <w:r w:rsidRPr="003F4539">
              <w:rPr>
                <w:rFonts w:ascii="Times New Roman" w:hAnsi="Times New Roman"/>
                <w:bCs/>
                <w:sz w:val="26"/>
                <w:szCs w:val="32"/>
                <w:u w:val="single"/>
              </w:rPr>
              <w:t>Chapter Five</w:t>
            </w:r>
          </w:p>
        </w:tc>
      </w:tr>
      <w:tr w:rsidR="00BD6609" w:rsidRPr="00C424D0" w:rsidTr="004913F3">
        <w:tc>
          <w:tcPr>
            <w:tcW w:w="9576" w:type="dxa"/>
          </w:tcPr>
          <w:p w:rsidR="00BD6609" w:rsidRPr="003F4539" w:rsidRDefault="00BD6609" w:rsidP="004913F3">
            <w:pPr>
              <w:autoSpaceDE w:val="0"/>
              <w:autoSpaceDN w:val="0"/>
              <w:adjustRightInd w:val="0"/>
              <w:jc w:val="center"/>
              <w:rPr>
                <w:rFonts w:ascii="Times New Roman" w:hAnsi="Times New Roman"/>
                <w:sz w:val="26"/>
              </w:rPr>
            </w:pPr>
            <w:r w:rsidRPr="003F4539">
              <w:rPr>
                <w:rFonts w:ascii="Times New Roman" w:hAnsi="Times New Roman"/>
                <w:sz w:val="26"/>
              </w:rPr>
              <w:t>Developing Countries Human Rights Follow</w:t>
            </w:r>
          </w:p>
        </w:tc>
      </w:tr>
      <w:tr w:rsidR="00BD6609" w:rsidRPr="00C424D0" w:rsidTr="004913F3">
        <w:tc>
          <w:tcPr>
            <w:tcW w:w="9576" w:type="dxa"/>
          </w:tcPr>
          <w:p w:rsidR="00BD6609" w:rsidRPr="00C424D0" w:rsidRDefault="00BD6609" w:rsidP="004913F3">
            <w:pPr>
              <w:rPr>
                <w:rFonts w:ascii="Times New Roman" w:hAnsi="Times New Roman"/>
              </w:rPr>
            </w:pPr>
            <w:r w:rsidRPr="00C424D0">
              <w:rPr>
                <w:rFonts w:ascii="Times New Roman" w:hAnsi="Times New Roman"/>
              </w:rPr>
              <w:t>5.1 Human rights in the United States</w:t>
            </w:r>
            <w:r>
              <w:rPr>
                <w:rFonts w:ascii="Times New Roman" w:hAnsi="Times New Roman"/>
              </w:rPr>
              <w:t xml:space="preserve">                                                                                                    20-24</w:t>
            </w:r>
          </w:p>
        </w:tc>
      </w:tr>
      <w:tr w:rsidR="00BD6609" w:rsidRPr="00C424D0" w:rsidTr="004913F3">
        <w:tc>
          <w:tcPr>
            <w:tcW w:w="9576" w:type="dxa"/>
          </w:tcPr>
          <w:p w:rsidR="00BD6609" w:rsidRPr="00E56B05" w:rsidRDefault="00BD6609" w:rsidP="004913F3">
            <w:pPr>
              <w:shd w:val="clear" w:color="auto" w:fill="FFFFFF"/>
              <w:jc w:val="both"/>
              <w:rPr>
                <w:rFonts w:ascii="Times New Roman" w:hAnsi="Times New Roman"/>
              </w:rPr>
            </w:pPr>
            <w:r w:rsidRPr="00C424D0">
              <w:rPr>
                <w:rFonts w:ascii="Times New Roman" w:hAnsi="Times New Roman"/>
              </w:rPr>
              <w:t>5.2 Human Rights in Asia</w:t>
            </w:r>
            <w:r w:rsidRPr="00C424D0">
              <w:rPr>
                <w:rFonts w:ascii="Times New Roman" w:hAnsi="Times New Roman"/>
                <w:vertAlign w:val="superscript"/>
              </w:rPr>
              <w:t xml:space="preserve"> </w:t>
            </w:r>
            <w:r>
              <w:rPr>
                <w:rFonts w:ascii="Times New Roman" w:hAnsi="Times New Roman"/>
                <w:vertAlign w:val="superscript"/>
              </w:rPr>
              <w:t xml:space="preserve">                                                                                                                                                            </w:t>
            </w:r>
            <w:r>
              <w:rPr>
                <w:rFonts w:ascii="Times New Roman" w:hAnsi="Times New Roman"/>
              </w:rPr>
              <w:t>24</w:t>
            </w:r>
          </w:p>
        </w:tc>
      </w:tr>
      <w:tr w:rsidR="00BD6609" w:rsidRPr="00C424D0" w:rsidTr="004913F3">
        <w:tc>
          <w:tcPr>
            <w:tcW w:w="9576" w:type="dxa"/>
          </w:tcPr>
          <w:p w:rsidR="00BD6609" w:rsidRPr="00C424D0" w:rsidRDefault="00BD6609" w:rsidP="004913F3">
            <w:pPr>
              <w:pStyle w:val="NormalWeb"/>
              <w:shd w:val="clear" w:color="auto" w:fill="FFFFFF"/>
              <w:spacing w:before="0" w:beforeAutospacing="0" w:after="0" w:afterAutospacing="0"/>
              <w:jc w:val="both"/>
              <w:rPr>
                <w:color w:val="000000" w:themeColor="text1"/>
              </w:rPr>
            </w:pPr>
            <w:r w:rsidRPr="00C424D0">
              <w:rPr>
                <w:color w:val="252525"/>
              </w:rPr>
              <w:t xml:space="preserve">5.3 </w:t>
            </w:r>
            <w:r w:rsidRPr="00C424D0">
              <w:t>Marginalized people access to Justice and Human Right</w:t>
            </w:r>
            <w:r>
              <w:t xml:space="preserve">                                                 </w:t>
            </w:r>
            <w:r w:rsidRPr="00E56B05">
              <w:rPr>
                <w:sz w:val="22"/>
              </w:rPr>
              <w:t>26</w:t>
            </w:r>
          </w:p>
        </w:tc>
      </w:tr>
      <w:tr w:rsidR="00BD6609" w:rsidRPr="00C424D0" w:rsidTr="004913F3">
        <w:tc>
          <w:tcPr>
            <w:tcW w:w="9576" w:type="dxa"/>
          </w:tcPr>
          <w:p w:rsidR="00BD6609" w:rsidRPr="00C424D0" w:rsidRDefault="00BD6609" w:rsidP="004913F3">
            <w:pPr>
              <w:pStyle w:val="NormalWeb"/>
              <w:spacing w:before="0" w:beforeAutospacing="0" w:after="0" w:afterAutospacing="0"/>
              <w:jc w:val="both"/>
            </w:pPr>
            <w:r>
              <w:t>5.3.1 Initiative                                                                                                                      26</w:t>
            </w:r>
          </w:p>
        </w:tc>
      </w:tr>
      <w:tr w:rsidR="00BD6609" w:rsidRPr="00C424D0" w:rsidTr="004913F3">
        <w:tc>
          <w:tcPr>
            <w:tcW w:w="9576" w:type="dxa"/>
          </w:tcPr>
          <w:p w:rsidR="00BD6609" w:rsidRPr="00C424D0" w:rsidRDefault="00BD6609" w:rsidP="004913F3">
            <w:pPr>
              <w:pStyle w:val="NormalWeb"/>
              <w:spacing w:before="0" w:beforeAutospacing="0" w:after="0" w:afterAutospacing="0"/>
              <w:jc w:val="both"/>
            </w:pPr>
            <w:r w:rsidRPr="00C424D0">
              <w:t>5.4 Asian Consortium</w:t>
            </w:r>
            <w:r>
              <w:t xml:space="preserve">                                                                                                           28</w:t>
            </w:r>
          </w:p>
        </w:tc>
      </w:tr>
      <w:tr w:rsidR="00BD6609" w:rsidRPr="00C424D0" w:rsidTr="004913F3">
        <w:tc>
          <w:tcPr>
            <w:tcW w:w="9576" w:type="dxa"/>
          </w:tcPr>
          <w:p w:rsidR="00BD6609" w:rsidRPr="00C424D0" w:rsidRDefault="00BD6609" w:rsidP="004913F3">
            <w:pPr>
              <w:pStyle w:val="NormalWeb"/>
              <w:spacing w:before="0" w:beforeAutospacing="0" w:after="0" w:afterAutospacing="0"/>
              <w:jc w:val="both"/>
            </w:pPr>
            <w:r w:rsidRPr="00C424D0">
              <w:t>5.5 UNDP works with national partners</w:t>
            </w:r>
            <w:r>
              <w:t xml:space="preserve">                                                                                28</w:t>
            </w:r>
          </w:p>
        </w:tc>
      </w:tr>
      <w:tr w:rsidR="00BD6609" w:rsidRPr="00C424D0" w:rsidTr="004913F3">
        <w:tc>
          <w:tcPr>
            <w:tcW w:w="9576" w:type="dxa"/>
          </w:tcPr>
          <w:p w:rsidR="00BD6609" w:rsidRPr="00C424D0" w:rsidRDefault="00BD6609" w:rsidP="004913F3">
            <w:pPr>
              <w:jc w:val="both"/>
              <w:rPr>
                <w:rFonts w:ascii="Times New Roman" w:hAnsi="Times New Roman"/>
              </w:rPr>
            </w:pPr>
            <w:r w:rsidRPr="00C424D0">
              <w:rPr>
                <w:rFonts w:ascii="Times New Roman" w:hAnsi="Times New Roman"/>
              </w:rPr>
              <w:t>5.6 Human Right Law and poverty reduction</w:t>
            </w:r>
            <w:r>
              <w:rPr>
                <w:rFonts w:ascii="Times New Roman" w:hAnsi="Times New Roman"/>
              </w:rPr>
              <w:t xml:space="preserve">                                                                                  29</w:t>
            </w:r>
          </w:p>
        </w:tc>
      </w:tr>
    </w:tbl>
    <w:p w:rsidR="00BD6609" w:rsidRPr="00FB53D5" w:rsidRDefault="00BD6609" w:rsidP="00BD6609">
      <w:pPr>
        <w:jc w:val="both"/>
        <w:rPr>
          <w:rFonts w:ascii="Times New Roman" w:hAnsi="Times New Roman" w:cs="Times New Roman"/>
          <w:sz w:val="24"/>
          <w:szCs w:val="24"/>
        </w:rPr>
      </w:pPr>
    </w:p>
    <w:tbl>
      <w:tblPr>
        <w:tblStyle w:val="TableGrid"/>
        <w:tblW w:w="0" w:type="auto"/>
        <w:tblLook w:val="04A0"/>
      </w:tblPr>
      <w:tblGrid>
        <w:gridCol w:w="9576"/>
      </w:tblGrid>
      <w:tr w:rsidR="00BD6609" w:rsidRPr="00FB53D5" w:rsidTr="004913F3">
        <w:tc>
          <w:tcPr>
            <w:tcW w:w="9576" w:type="dxa"/>
          </w:tcPr>
          <w:p w:rsidR="00BD6609" w:rsidRPr="006130B4" w:rsidRDefault="00BD6609" w:rsidP="004913F3">
            <w:pPr>
              <w:jc w:val="center"/>
              <w:rPr>
                <w:rFonts w:ascii="Times New Roman" w:hAnsi="Times New Roman" w:cs="Times New Roman"/>
                <w:b/>
                <w:sz w:val="24"/>
                <w:szCs w:val="24"/>
              </w:rPr>
            </w:pPr>
            <w:r w:rsidRPr="006130B4">
              <w:rPr>
                <w:rFonts w:ascii="Times New Roman" w:hAnsi="Times New Roman" w:cs="Times New Roman"/>
                <w:b/>
                <w:sz w:val="24"/>
                <w:szCs w:val="24"/>
              </w:rPr>
              <w:lastRenderedPageBreak/>
              <w:t>Chapter 6</w:t>
            </w:r>
          </w:p>
        </w:tc>
      </w:tr>
      <w:tr w:rsidR="00BD6609" w:rsidRPr="00FB53D5" w:rsidTr="004913F3">
        <w:tc>
          <w:tcPr>
            <w:tcW w:w="9576" w:type="dxa"/>
          </w:tcPr>
          <w:p w:rsidR="00BD6609" w:rsidRPr="006130B4" w:rsidRDefault="00BD6609" w:rsidP="004913F3">
            <w:pPr>
              <w:autoSpaceDE w:val="0"/>
              <w:autoSpaceDN w:val="0"/>
              <w:adjustRightInd w:val="0"/>
              <w:spacing w:line="360" w:lineRule="auto"/>
              <w:jc w:val="center"/>
              <w:rPr>
                <w:rFonts w:ascii="Times New Roman" w:hAnsi="Times New Roman"/>
                <w:b/>
                <w:bCs/>
                <w:color w:val="000000"/>
                <w:sz w:val="24"/>
              </w:rPr>
            </w:pPr>
            <w:r w:rsidRPr="006130B4">
              <w:rPr>
                <w:rFonts w:ascii="Times New Roman" w:hAnsi="Times New Roman"/>
                <w:b/>
                <w:bCs/>
                <w:color w:val="000000"/>
                <w:sz w:val="24"/>
              </w:rPr>
              <w:t>Recommendation &amp; Conclusion</w:t>
            </w:r>
          </w:p>
        </w:tc>
      </w:tr>
      <w:tr w:rsidR="00BD6609" w:rsidRPr="00FB53D5" w:rsidTr="004913F3">
        <w:tc>
          <w:tcPr>
            <w:tcW w:w="9576" w:type="dxa"/>
          </w:tcPr>
          <w:p w:rsidR="00BD6609" w:rsidRPr="00702576" w:rsidRDefault="00BD6609" w:rsidP="004913F3">
            <w:pPr>
              <w:autoSpaceDE w:val="0"/>
              <w:autoSpaceDN w:val="0"/>
              <w:adjustRightInd w:val="0"/>
              <w:rPr>
                <w:rFonts w:ascii="Times New Roman" w:hAnsi="Times New Roman"/>
              </w:rPr>
            </w:pPr>
            <w:r w:rsidRPr="006130B4">
              <w:rPr>
                <w:rFonts w:ascii="Times New Roman" w:hAnsi="Times New Roman"/>
                <w:bCs/>
                <w:color w:val="000000"/>
                <w:sz w:val="24"/>
              </w:rPr>
              <w:t>6.1 Human Rights Apply in Bangladesh / Recommendations</w:t>
            </w:r>
            <w:r>
              <w:rPr>
                <w:rFonts w:ascii="Times New Roman" w:hAnsi="Times New Roman"/>
                <w:bCs/>
                <w:color w:val="000000"/>
                <w:sz w:val="24"/>
              </w:rPr>
              <w:t xml:space="preserve">                                                 31-33</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Pr>
                <w:rFonts w:ascii="Times New Roman" w:hAnsi="Times New Roman" w:cs="Times New Roman"/>
                <w:sz w:val="24"/>
                <w:szCs w:val="24"/>
              </w:rPr>
              <w:t xml:space="preserve">6.2 </w:t>
            </w:r>
            <w:r w:rsidRPr="00FB53D5">
              <w:rPr>
                <w:rFonts w:ascii="Times New Roman" w:hAnsi="Times New Roman" w:cs="Times New Roman"/>
                <w:sz w:val="24"/>
                <w:szCs w:val="24"/>
              </w:rPr>
              <w:t>Conclusion</w:t>
            </w:r>
            <w:r>
              <w:rPr>
                <w:rFonts w:ascii="Times New Roman" w:hAnsi="Times New Roman" w:cs="Times New Roman"/>
                <w:sz w:val="24"/>
                <w:szCs w:val="24"/>
              </w:rPr>
              <w:t xml:space="preserve">                                                                                                                              3</w:t>
            </w:r>
            <w:r w:rsidRPr="001E2CA2">
              <w:rPr>
                <w:rFonts w:ascii="Times New Roman" w:hAnsi="Times New Roman" w:cs="Times New Roman"/>
                <w:sz w:val="20"/>
                <w:szCs w:val="20"/>
              </w:rPr>
              <w:t xml:space="preserve">4 </w:t>
            </w:r>
            <w:r>
              <w:rPr>
                <w:rFonts w:ascii="Times New Roman" w:hAnsi="Times New Roman" w:cs="Times New Roman"/>
                <w:sz w:val="24"/>
                <w:szCs w:val="24"/>
              </w:rPr>
              <w:t xml:space="preserve">      </w:t>
            </w:r>
          </w:p>
        </w:tc>
      </w:tr>
      <w:tr w:rsidR="00BD6609" w:rsidRPr="00FB53D5" w:rsidTr="004913F3">
        <w:tc>
          <w:tcPr>
            <w:tcW w:w="9576" w:type="dxa"/>
          </w:tcPr>
          <w:p w:rsidR="00BD6609" w:rsidRPr="00FB53D5" w:rsidRDefault="00BD6609" w:rsidP="004913F3">
            <w:pPr>
              <w:jc w:val="both"/>
              <w:rPr>
                <w:rFonts w:ascii="Times New Roman" w:hAnsi="Times New Roman" w:cs="Times New Roman"/>
                <w:sz w:val="24"/>
                <w:szCs w:val="24"/>
              </w:rPr>
            </w:pPr>
            <w:r>
              <w:rPr>
                <w:rFonts w:ascii="Times New Roman" w:hAnsi="Times New Roman" w:cs="Times New Roman"/>
                <w:sz w:val="24"/>
                <w:szCs w:val="24"/>
              </w:rPr>
              <w:t>6.3 Bibliography                                                                                                                        35</w:t>
            </w:r>
            <w:r w:rsidRPr="0063188B">
              <w:rPr>
                <w:rFonts w:ascii="Times New Roman" w:hAnsi="Times New Roman" w:cs="Times New Roman"/>
                <w:sz w:val="20"/>
                <w:szCs w:val="20"/>
              </w:rPr>
              <w:t>-</w:t>
            </w:r>
            <w:r>
              <w:rPr>
                <w:rFonts w:ascii="Times New Roman" w:hAnsi="Times New Roman" w:cs="Times New Roman"/>
                <w:sz w:val="20"/>
                <w:szCs w:val="20"/>
              </w:rPr>
              <w:t>3</w:t>
            </w:r>
            <w:r w:rsidRPr="0063188B">
              <w:rPr>
                <w:rFonts w:ascii="Times New Roman" w:hAnsi="Times New Roman" w:cs="Times New Roman"/>
                <w:sz w:val="20"/>
                <w:szCs w:val="20"/>
              </w:rPr>
              <w:t>7</w:t>
            </w:r>
          </w:p>
        </w:tc>
      </w:tr>
    </w:tbl>
    <w:p w:rsidR="00BD6609" w:rsidRDefault="00BD6609" w:rsidP="00BD6609">
      <w:pPr>
        <w:shd w:val="clear" w:color="auto" w:fill="FFFFFF"/>
        <w:spacing w:before="300" w:after="75" w:line="450" w:lineRule="atLeast"/>
        <w:outlineLvl w:val="2"/>
        <w:rPr>
          <w:rFonts w:ascii="Times New Roman" w:hAnsi="Times New Roman" w:cs="Times New Roman"/>
          <w:sz w:val="24"/>
          <w:szCs w:val="24"/>
        </w:rPr>
      </w:pPr>
    </w:p>
    <w:p w:rsidR="00BD6609" w:rsidRDefault="00BD6609" w:rsidP="00BD6609">
      <w:pPr>
        <w:rPr>
          <w:rFonts w:ascii="Times New Roman" w:hAnsi="Times New Roman" w:cs="Times New Roman"/>
          <w:b/>
          <w:sz w:val="32"/>
          <w:szCs w:val="32"/>
        </w:rPr>
      </w:pPr>
    </w:p>
    <w:p w:rsidR="00BD6609" w:rsidRPr="00FB53D5" w:rsidRDefault="00BD6609" w:rsidP="00BD6609">
      <w:pPr>
        <w:rPr>
          <w:rFonts w:ascii="Times New Roman" w:hAnsi="Times New Roman" w:cs="Times New Roman"/>
          <w:sz w:val="24"/>
          <w:szCs w:val="24"/>
        </w:rPr>
      </w:pPr>
    </w:p>
    <w:p w:rsidR="00BD6609" w:rsidRDefault="00BD6609">
      <w:pPr>
        <w:rPr>
          <w:rFonts w:ascii="Times New Roman" w:hAnsi="Times New Roman" w:cs="Times New Roman"/>
          <w:b/>
          <w:sz w:val="32"/>
          <w:szCs w:val="32"/>
        </w:rPr>
      </w:pPr>
      <w:r>
        <w:rPr>
          <w:rFonts w:ascii="Times New Roman" w:hAnsi="Times New Roman" w:cs="Times New Roman"/>
          <w:b/>
          <w:sz w:val="32"/>
          <w:szCs w:val="32"/>
        </w:rPr>
        <w:br w:type="page"/>
      </w:r>
    </w:p>
    <w:p w:rsidR="00A82859" w:rsidRPr="00FB53D5" w:rsidRDefault="00A82859" w:rsidP="0074114D">
      <w:pPr>
        <w:spacing w:line="240" w:lineRule="auto"/>
        <w:jc w:val="center"/>
        <w:rPr>
          <w:rFonts w:ascii="Times New Roman" w:hAnsi="Times New Roman" w:cs="Times New Roman"/>
          <w:b/>
          <w:sz w:val="32"/>
          <w:szCs w:val="32"/>
        </w:rPr>
      </w:pPr>
      <w:r w:rsidRPr="00FB53D5">
        <w:rPr>
          <w:rFonts w:ascii="Times New Roman" w:hAnsi="Times New Roman" w:cs="Times New Roman"/>
          <w:b/>
          <w:sz w:val="32"/>
          <w:szCs w:val="32"/>
        </w:rPr>
        <w:lastRenderedPageBreak/>
        <w:t>CHAPTER 1</w:t>
      </w:r>
    </w:p>
    <w:p w:rsidR="00A82859" w:rsidRPr="00FB53D5" w:rsidRDefault="00A82859" w:rsidP="00A82859">
      <w:pPr>
        <w:spacing w:line="360" w:lineRule="auto"/>
        <w:jc w:val="both"/>
        <w:rPr>
          <w:rFonts w:ascii="Times New Roman" w:hAnsi="Times New Roman" w:cs="Times New Roman"/>
          <w:b/>
          <w:sz w:val="28"/>
          <w:szCs w:val="28"/>
        </w:rPr>
      </w:pPr>
      <w:r w:rsidRPr="00FB53D5">
        <w:rPr>
          <w:rFonts w:ascii="Times New Roman" w:hAnsi="Times New Roman" w:cs="Times New Roman"/>
          <w:b/>
          <w:sz w:val="28"/>
          <w:szCs w:val="28"/>
        </w:rPr>
        <w:t>1.1 Introduction</w:t>
      </w:r>
    </w:p>
    <w:p w:rsidR="00A82859" w:rsidRPr="00723C53"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“All human beings are born free and equal in dignity and rights. They are endowed with reason and conscience and should act towards one  </w:t>
      </w:r>
      <w:r>
        <w:rPr>
          <w:rFonts w:ascii="Times New Roman" w:hAnsi="Times New Roman" w:cs="Times New Roman"/>
          <w:sz w:val="24"/>
          <w:szCs w:val="24"/>
        </w:rPr>
        <w:t xml:space="preserve"> another in a spirit of brotherhood.” </w:t>
      </w:r>
      <w:r w:rsidRPr="00FB53D5">
        <w:rPr>
          <w:rFonts w:ascii="Times New Roman" w:hAnsi="Times New Roman" w:cs="Times New Roman"/>
          <w:sz w:val="24"/>
          <w:szCs w:val="24"/>
        </w:rPr>
        <w:t>Human rights are said to be the inherent, universal, inalienable and indivisible rights to which we all are equally entitled without any discrimination as to race, religion, nationality, color, gender, language, place of birth or any other status. These rights are also called the interrelated, interdependent and self-evident. As a human being, it is the duty of every person to know what the human rights are. What rights s/he belongs to? And how these rights can be enjoyed without any obstruction? At the same time it is the obligation of every governmental body to ens</w:t>
      </w:r>
      <w:r>
        <w:rPr>
          <w:rFonts w:ascii="Times New Roman" w:hAnsi="Times New Roman" w:cs="Times New Roman"/>
          <w:sz w:val="24"/>
          <w:szCs w:val="24"/>
        </w:rPr>
        <w:t>ure the effective enforcement</w:t>
      </w:r>
      <w:r w:rsidRPr="00FB53D5">
        <w:rPr>
          <w:rFonts w:ascii="Times New Roman" w:hAnsi="Times New Roman" w:cs="Times New Roman"/>
          <w:sz w:val="24"/>
          <w:szCs w:val="24"/>
        </w:rPr>
        <w:t xml:space="preserve"> of these rights so that no member of the human family becomes deprived of enjoying these and exposed to the consequences ensuing from the violation of any of these rights. Bangladesh is a party to a number of major international human rights and humanitarian law treaties, albeit with important reservations to some</w:t>
      </w:r>
      <w:r>
        <w:rPr>
          <w:rFonts w:ascii="Times New Roman" w:hAnsi="Times New Roman" w:cs="Times New Roman"/>
          <w:sz w:val="24"/>
          <w:szCs w:val="24"/>
        </w:rPr>
        <w:t xml:space="preserve"> of them. But the enforcement</w:t>
      </w:r>
      <w:r w:rsidRPr="00FB53D5">
        <w:rPr>
          <w:rFonts w:ascii="Times New Roman" w:hAnsi="Times New Roman" w:cs="Times New Roman"/>
          <w:sz w:val="24"/>
          <w:szCs w:val="24"/>
        </w:rPr>
        <w:t xml:space="preserve"> of these human rights remains a far cry due to its ineffe</w:t>
      </w:r>
      <w:r>
        <w:rPr>
          <w:rFonts w:ascii="Times New Roman" w:hAnsi="Times New Roman" w:cs="Times New Roman"/>
          <w:sz w:val="24"/>
          <w:szCs w:val="24"/>
        </w:rPr>
        <w:t>ctive enforcement mechanism.</w:t>
      </w:r>
      <w:r w:rsidRPr="00FB53D5">
        <w:rPr>
          <w:rFonts w:ascii="Times New Roman" w:hAnsi="Times New Roman" w:cs="Times New Roman"/>
          <w:sz w:val="24"/>
          <w:szCs w:val="24"/>
        </w:rPr>
        <w:t xml:space="preserve"> This</w:t>
      </w:r>
      <w:r>
        <w:rPr>
          <w:rFonts w:ascii="Times New Roman" w:hAnsi="Times New Roman" w:cs="Times New Roman"/>
          <w:sz w:val="24"/>
          <w:szCs w:val="24"/>
        </w:rPr>
        <w:t xml:space="preserve"> </w:t>
      </w:r>
      <w:r w:rsidRPr="00FB53D5">
        <w:rPr>
          <w:rFonts w:ascii="Times New Roman" w:hAnsi="Times New Roman" w:cs="Times New Roman"/>
          <w:sz w:val="24"/>
          <w:szCs w:val="24"/>
        </w:rPr>
        <w:t>increasing gap between the different tenure of governments of Bangladesh proclivity to join with the modern human rights regime and to bring their human rights practice into compliance with that regime which challenges the effectiveness of international law and questions the legitimacy of its legal commitme</w:t>
      </w:r>
      <w:r>
        <w:rPr>
          <w:rFonts w:ascii="Times New Roman" w:hAnsi="Times New Roman" w:cs="Times New Roman"/>
          <w:sz w:val="24"/>
          <w:szCs w:val="24"/>
        </w:rPr>
        <w:t xml:space="preserve">nts to protect the lives of its </w:t>
      </w:r>
      <w:r w:rsidRPr="00FB53D5">
        <w:rPr>
          <w:rFonts w:ascii="Times New Roman" w:hAnsi="Times New Roman" w:cs="Times New Roman"/>
          <w:sz w:val="24"/>
          <w:szCs w:val="24"/>
        </w:rPr>
        <w:t>citizens. Scholars of international relations, particularly within the realist and neoliberal traditions, expect this compliance gap between states‟ commitment to international law and states‟ practices. The main aim of this paper is to focus and an</w:t>
      </w:r>
      <w:r>
        <w:rPr>
          <w:rFonts w:ascii="Times New Roman" w:hAnsi="Times New Roman" w:cs="Times New Roman"/>
          <w:sz w:val="24"/>
          <w:szCs w:val="24"/>
        </w:rPr>
        <w:t>alyze how far the enforcement</w:t>
      </w:r>
      <w:r w:rsidRPr="00FB53D5">
        <w:rPr>
          <w:rFonts w:ascii="Times New Roman" w:hAnsi="Times New Roman" w:cs="Times New Roman"/>
          <w:sz w:val="24"/>
          <w:szCs w:val="24"/>
        </w:rPr>
        <w:t xml:space="preserve"> mechanisms of human rights in Bangladesh are sound. This paper intends to focus the significance of increasing the respect and observance of human rights and fundamental freedoms for Bangladesh and the overall development of human being.</w:t>
      </w:r>
    </w:p>
    <w:p w:rsidR="00A82859" w:rsidRDefault="00A82859" w:rsidP="00A82859">
      <w:pPr>
        <w:rPr>
          <w:rFonts w:ascii="Times New Roman" w:hAnsi="Times New Roman" w:cs="Times New Roman"/>
          <w:b/>
          <w:sz w:val="28"/>
          <w:szCs w:val="28"/>
        </w:rPr>
      </w:pPr>
      <w:r>
        <w:rPr>
          <w:rFonts w:ascii="Times New Roman" w:hAnsi="Times New Roman" w:cs="Times New Roman"/>
          <w:b/>
          <w:sz w:val="28"/>
          <w:szCs w:val="28"/>
        </w:rPr>
        <w:br w:type="page"/>
      </w:r>
    </w:p>
    <w:p w:rsidR="00A82859" w:rsidRPr="00FB53D5" w:rsidRDefault="00A82859" w:rsidP="00A82859">
      <w:pPr>
        <w:spacing w:line="360" w:lineRule="auto"/>
        <w:jc w:val="both"/>
        <w:rPr>
          <w:rFonts w:ascii="Times New Roman" w:hAnsi="Times New Roman" w:cs="Times New Roman"/>
          <w:b/>
          <w:sz w:val="28"/>
          <w:szCs w:val="28"/>
        </w:rPr>
      </w:pPr>
      <w:r w:rsidRPr="00FB53D5">
        <w:rPr>
          <w:rFonts w:ascii="Times New Roman" w:hAnsi="Times New Roman" w:cs="Times New Roman"/>
          <w:b/>
          <w:sz w:val="28"/>
          <w:szCs w:val="28"/>
        </w:rPr>
        <w:lastRenderedPageBreak/>
        <w:t>1.2 Objectives of Human Rights Enforcement mechanism</w:t>
      </w:r>
    </w:p>
    <w:p w:rsidR="00A82859" w:rsidRPr="00FB53D5" w:rsidRDefault="00A82859" w:rsidP="00A82859">
      <w:pPr>
        <w:pStyle w:val="ListParagraph"/>
        <w:numPr>
          <w:ilvl w:val="0"/>
          <w:numId w:val="7"/>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To ensure the civil and political rights</w:t>
      </w:r>
    </w:p>
    <w:p w:rsidR="00A82859" w:rsidRPr="00FB53D5" w:rsidRDefault="00A82859" w:rsidP="00A82859">
      <w:pPr>
        <w:pStyle w:val="ListParagraph"/>
        <w:numPr>
          <w:ilvl w:val="0"/>
          <w:numId w:val="7"/>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To ensure the economic, social and cultural rights.</w:t>
      </w:r>
    </w:p>
    <w:p w:rsidR="00A82859" w:rsidRPr="00FB53D5" w:rsidRDefault="00A82859" w:rsidP="00A82859">
      <w:pPr>
        <w:pStyle w:val="ListParagraph"/>
        <w:numPr>
          <w:ilvl w:val="0"/>
          <w:numId w:val="7"/>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To strengthen respect for human rights and fundamental freedoms.</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8"/>
          <w:szCs w:val="28"/>
        </w:rPr>
        <w:t xml:space="preserve">  </w:t>
      </w:r>
      <w:r w:rsidRPr="00FB53D5">
        <w:rPr>
          <w:rFonts w:ascii="Times New Roman" w:hAnsi="Times New Roman" w:cs="Times New Roman"/>
          <w:sz w:val="24"/>
          <w:szCs w:val="24"/>
        </w:rPr>
        <w:t xml:space="preserve">Human rights have been recognized as standards of achievements and norms of behaviors of all members of society, in particular the government and its agencies. Human Rights form the foundation of society, and without its observance, society would disintegrate. Society can be maintained only by protecting and promoting dignity of human beings. </w:t>
      </w:r>
    </w:p>
    <w:p w:rsidR="00A82859" w:rsidRDefault="00A82859" w:rsidP="00A82859">
      <w:pPr>
        <w:spacing w:line="240" w:lineRule="auto"/>
        <w:jc w:val="both"/>
        <w:rPr>
          <w:rFonts w:ascii="Times New Roman" w:hAnsi="Times New Roman" w:cs="Times New Roman"/>
          <w:b/>
          <w:sz w:val="28"/>
          <w:szCs w:val="28"/>
        </w:rPr>
      </w:pPr>
      <w:r w:rsidRPr="00FB53D5">
        <w:rPr>
          <w:rFonts w:ascii="Times New Roman" w:hAnsi="Times New Roman" w:cs="Times New Roman"/>
          <w:b/>
          <w:sz w:val="28"/>
          <w:szCs w:val="28"/>
        </w:rPr>
        <w:t>1.3 Methodology</w:t>
      </w:r>
    </w:p>
    <w:p w:rsidR="00A82859" w:rsidRPr="00A1374F" w:rsidRDefault="00A82859" w:rsidP="00A82859">
      <w:pPr>
        <w:spacing w:line="360" w:lineRule="auto"/>
        <w:jc w:val="both"/>
        <w:rPr>
          <w:rFonts w:ascii="Times New Roman" w:hAnsi="Times New Roman" w:cs="Times New Roman"/>
          <w:b/>
          <w:sz w:val="28"/>
          <w:szCs w:val="28"/>
        </w:rPr>
      </w:pPr>
      <w:r>
        <w:rPr>
          <w:rFonts w:ascii="Times New Roman" w:hAnsi="Times New Roman" w:cs="Times New Roman"/>
          <w:sz w:val="24"/>
          <w:szCs w:val="24"/>
        </w:rPr>
        <w:t>This term paper is made of</w:t>
      </w:r>
      <w:r w:rsidRPr="00FB53D5">
        <w:rPr>
          <w:rFonts w:ascii="Times New Roman" w:hAnsi="Times New Roman" w:cs="Times New Roman"/>
          <w:sz w:val="24"/>
          <w:szCs w:val="24"/>
        </w:rPr>
        <w:t xml:space="preserve"> using secondary data. The major source of this study is secondary</w:t>
      </w:r>
      <w:r>
        <w:rPr>
          <w:rFonts w:ascii="Times New Roman" w:hAnsi="Times New Roman" w:cs="Times New Roman"/>
          <w:sz w:val="24"/>
          <w:szCs w:val="24"/>
        </w:rPr>
        <w:t xml:space="preserve"> and for the purpose of</w:t>
      </w:r>
      <w:r w:rsidRPr="00FB53D5">
        <w:rPr>
          <w:rFonts w:ascii="Times New Roman" w:hAnsi="Times New Roman" w:cs="Times New Roman"/>
          <w:sz w:val="24"/>
          <w:szCs w:val="24"/>
        </w:rPr>
        <w:t xml:space="preserve"> research relevant data have been collected from various sources. The ‘Keen</w:t>
      </w:r>
      <w:r>
        <w:rPr>
          <w:rFonts w:ascii="Times New Roman" w:hAnsi="Times New Roman" w:cs="Times New Roman"/>
          <w:sz w:val="24"/>
          <w:szCs w:val="24"/>
        </w:rPr>
        <w:t xml:space="preserve"> Observation</w:t>
      </w:r>
      <w:r w:rsidRPr="00FB53D5">
        <w:rPr>
          <w:rFonts w:ascii="Times New Roman" w:hAnsi="Times New Roman" w:cs="Times New Roman"/>
          <w:sz w:val="24"/>
          <w:szCs w:val="24"/>
        </w:rPr>
        <w:t xml:space="preserve"> Method’ has been applied in this research work. By using this method , the researcher  go through different articles, text, national and international research.</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The secondary data come from:</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International Research</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Govt. Gazed</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Previous Research</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Article or Colum or Report</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Newspaper</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Books</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Website</w:t>
      </w:r>
    </w:p>
    <w:p w:rsidR="00A82859" w:rsidRPr="00FB53D5" w:rsidRDefault="00A82859" w:rsidP="00A82859">
      <w:pPr>
        <w:pStyle w:val="ListParagraph"/>
        <w:numPr>
          <w:ilvl w:val="0"/>
          <w:numId w:val="8"/>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Jurist Opinion.</w:t>
      </w:r>
    </w:p>
    <w:p w:rsidR="00A82859" w:rsidRPr="00FB53D5" w:rsidRDefault="00A82859" w:rsidP="00A82859">
      <w:pPr>
        <w:spacing w:line="240" w:lineRule="auto"/>
        <w:jc w:val="both"/>
        <w:rPr>
          <w:rFonts w:ascii="Times New Roman" w:hAnsi="Times New Roman" w:cs="Times New Roman"/>
          <w:b/>
          <w:sz w:val="28"/>
          <w:szCs w:val="28"/>
        </w:rPr>
      </w:pPr>
      <w:r w:rsidRPr="00FB53D5">
        <w:rPr>
          <w:rFonts w:ascii="Times New Roman" w:hAnsi="Times New Roman" w:cs="Times New Roman"/>
          <w:b/>
          <w:sz w:val="28"/>
          <w:szCs w:val="28"/>
        </w:rPr>
        <w:t>1.4 Research limitations/</w:t>
      </w:r>
      <w:r>
        <w:rPr>
          <w:rFonts w:ascii="Times New Roman" w:hAnsi="Times New Roman" w:cs="Times New Roman"/>
          <w:b/>
          <w:sz w:val="28"/>
          <w:szCs w:val="28"/>
        </w:rPr>
        <w:t xml:space="preserve"> </w:t>
      </w:r>
      <w:r w:rsidRPr="00FB53D5">
        <w:rPr>
          <w:rFonts w:ascii="Times New Roman" w:hAnsi="Times New Roman" w:cs="Times New Roman"/>
          <w:b/>
          <w:sz w:val="28"/>
          <w:szCs w:val="28"/>
        </w:rPr>
        <w:t>Enforcement :</w:t>
      </w:r>
    </w:p>
    <w:p w:rsidR="00A82859" w:rsidRPr="00FE146C"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major limitation of this paper is it is based on secondary sources of information. It would have more rich if periodical data can be used for comparing theory and practice                                           </w:t>
      </w:r>
    </w:p>
    <w:p w:rsidR="00A82859" w:rsidRDefault="00A82859" w:rsidP="00A82859">
      <w:pPr>
        <w:rPr>
          <w:rFonts w:ascii="Times New Roman" w:hAnsi="Times New Roman" w:cs="Times New Roman"/>
          <w:b/>
          <w:sz w:val="28"/>
          <w:szCs w:val="28"/>
        </w:rPr>
      </w:pPr>
      <w:r>
        <w:rPr>
          <w:rFonts w:ascii="Times New Roman" w:hAnsi="Times New Roman" w:cs="Times New Roman"/>
          <w:b/>
          <w:sz w:val="28"/>
          <w:szCs w:val="28"/>
        </w:rPr>
        <w:br w:type="page"/>
      </w:r>
    </w:p>
    <w:p w:rsidR="00A82859" w:rsidRPr="00FB53D5" w:rsidRDefault="00A82859" w:rsidP="0074114D">
      <w:pPr>
        <w:spacing w:line="240" w:lineRule="auto"/>
        <w:jc w:val="center"/>
        <w:rPr>
          <w:rFonts w:ascii="Times New Roman" w:hAnsi="Times New Roman" w:cs="Times New Roman"/>
          <w:b/>
          <w:sz w:val="28"/>
          <w:szCs w:val="28"/>
        </w:rPr>
      </w:pPr>
      <w:r w:rsidRPr="00FB53D5">
        <w:rPr>
          <w:rFonts w:ascii="Times New Roman" w:hAnsi="Times New Roman" w:cs="Times New Roman"/>
          <w:b/>
          <w:sz w:val="28"/>
          <w:szCs w:val="28"/>
        </w:rPr>
        <w:lastRenderedPageBreak/>
        <w:t>CHAPTER 2</w:t>
      </w:r>
    </w:p>
    <w:p w:rsidR="00A82859" w:rsidRPr="00FB53D5" w:rsidRDefault="00A82859" w:rsidP="004C490C">
      <w:pPr>
        <w:spacing w:line="240" w:lineRule="auto"/>
        <w:jc w:val="center"/>
        <w:rPr>
          <w:rFonts w:ascii="Times New Roman" w:hAnsi="Times New Roman" w:cs="Times New Roman"/>
          <w:b/>
          <w:sz w:val="28"/>
          <w:szCs w:val="28"/>
        </w:rPr>
      </w:pPr>
      <w:r w:rsidRPr="00FB53D5">
        <w:rPr>
          <w:rFonts w:ascii="Times New Roman" w:hAnsi="Times New Roman" w:cs="Times New Roman"/>
          <w:b/>
          <w:sz w:val="28"/>
          <w:szCs w:val="28"/>
        </w:rPr>
        <w:t>Enforcement mechanism</w:t>
      </w:r>
    </w:p>
    <w:p w:rsidR="00A82859" w:rsidRPr="00FB53D5" w:rsidRDefault="00A82859" w:rsidP="00A82859">
      <w:pPr>
        <w:spacing w:line="240" w:lineRule="auto"/>
        <w:jc w:val="both"/>
        <w:rPr>
          <w:rFonts w:ascii="Times New Roman" w:hAnsi="Times New Roman" w:cs="Times New Roman"/>
          <w:b/>
          <w:sz w:val="28"/>
          <w:szCs w:val="28"/>
        </w:rPr>
      </w:pPr>
      <w:r w:rsidRPr="00FB53D5">
        <w:rPr>
          <w:rFonts w:ascii="Times New Roman" w:hAnsi="Times New Roman" w:cs="Times New Roman"/>
          <w:b/>
          <w:sz w:val="28"/>
          <w:szCs w:val="28"/>
        </w:rPr>
        <w:t>2.1 Introduction</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The concept of human rights is not new but the</w:t>
      </w:r>
      <w:r w:rsidRPr="00FB53D5">
        <w:rPr>
          <w:rFonts w:ascii="Times New Roman" w:hAnsi="Times New Roman" w:cs="Times New Roman"/>
          <w:b/>
          <w:sz w:val="24"/>
          <w:szCs w:val="24"/>
        </w:rPr>
        <w:t xml:space="preserve"> </w:t>
      </w:r>
      <w:r w:rsidRPr="00FB53D5">
        <w:rPr>
          <w:rFonts w:ascii="Times New Roman" w:hAnsi="Times New Roman" w:cs="Times New Roman"/>
          <w:sz w:val="24"/>
          <w:szCs w:val="24"/>
        </w:rPr>
        <w:t>enforcement</w:t>
      </w:r>
      <w:r w:rsidRPr="00FB53D5">
        <w:rPr>
          <w:rFonts w:ascii="Times New Roman" w:hAnsi="Times New Roman" w:cs="Times New Roman"/>
          <w:b/>
          <w:sz w:val="24"/>
          <w:szCs w:val="24"/>
        </w:rPr>
        <w:t xml:space="preserve"> </w:t>
      </w:r>
      <w:r w:rsidRPr="00FB53D5">
        <w:rPr>
          <w:rFonts w:ascii="Times New Roman" w:hAnsi="Times New Roman" w:cs="Times New Roman"/>
          <w:sz w:val="24"/>
          <w:szCs w:val="24"/>
        </w:rPr>
        <w:t>mechanisms of human rights at national, regional and international level remain quite newer than the concept. The paper examines the enforcement mechanisms of international human rights regime on governments‟ human rights practices. The paper put forward an explanation that highlights a “paradox of empty promises” by the governments in enforcing human rights. The core argument of the authors is that the universal institutionalization of human rights has created an international context in which governments often ratify human rights treaties as a matter of window dressing, thoroughly decoupling guiding principle from practice and at times exacerbating off-putting human rights practices, but the embryonic global legitimacy of human rights exerts independent universal civil society effects that perk up states‟ actual human rights practices.</w:t>
      </w:r>
    </w:p>
    <w:p w:rsidR="00A82859" w:rsidRPr="00FB53D5" w:rsidRDefault="00A82859" w:rsidP="00A82859">
      <w:pPr>
        <w:spacing w:line="240" w:lineRule="auto"/>
        <w:jc w:val="both"/>
        <w:rPr>
          <w:rFonts w:ascii="Times New Roman" w:hAnsi="Times New Roman" w:cs="Times New Roman"/>
          <w:b/>
          <w:sz w:val="28"/>
          <w:szCs w:val="28"/>
        </w:rPr>
      </w:pPr>
      <w:r w:rsidRPr="00FB53D5">
        <w:rPr>
          <w:rFonts w:ascii="Times New Roman" w:hAnsi="Times New Roman" w:cs="Times New Roman"/>
          <w:b/>
          <w:sz w:val="28"/>
          <w:szCs w:val="28"/>
        </w:rPr>
        <w:t>2.2</w:t>
      </w:r>
      <w:r>
        <w:rPr>
          <w:rStyle w:val="FootnoteReference"/>
          <w:rFonts w:ascii="Times New Roman" w:hAnsi="Times New Roman" w:cs="Times New Roman"/>
          <w:b/>
          <w:sz w:val="28"/>
          <w:szCs w:val="28"/>
        </w:rPr>
        <w:footnoteReference w:id="2"/>
      </w:r>
      <w:r w:rsidRPr="00FB53D5">
        <w:rPr>
          <w:rFonts w:ascii="Times New Roman" w:hAnsi="Times New Roman" w:cs="Times New Roman"/>
          <w:b/>
          <w:sz w:val="28"/>
          <w:szCs w:val="28"/>
        </w:rPr>
        <w:t xml:space="preserve">   Evolution Enforcement mechanism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After the end of World War II, the nations of the world came together and realized that human rights are extremely important and that they must be enshrined in a particular document. Accordingly, on 10/12/1948, the Universal Declaration of Human Rights was accepted and adopted by the United Nations. It is the basic Universal Document of human rights today. It consists of rights such as the civil and political rights and also social and economic rights. For the enforcement of human rights and fundamental freedoms at global level, special bodies have been established by the UN as per the International Conventions. These bodies monitor by ensuring that the protection and enforcement of human rights and fundamental freedoms is carried out as per the provisions of all the international conventions and protocols relating thereto. These bodies are: </w:t>
      </w:r>
    </w:p>
    <w:p w:rsidR="00A82859" w:rsidRPr="00FB53D5" w:rsidRDefault="00A82859" w:rsidP="00A82859">
      <w:pPr>
        <w:pStyle w:val="ListParagraph"/>
        <w:numPr>
          <w:ilvl w:val="0"/>
          <w:numId w:val="2"/>
        </w:numPr>
        <w:spacing w:line="360" w:lineRule="auto"/>
        <w:jc w:val="both"/>
        <w:rPr>
          <w:rFonts w:ascii="Times New Roman" w:hAnsi="Times New Roman" w:cs="Times New Roman"/>
          <w:sz w:val="28"/>
          <w:szCs w:val="28"/>
        </w:rPr>
      </w:pPr>
      <w:r w:rsidRPr="00FB53D5">
        <w:rPr>
          <w:rFonts w:ascii="Times New Roman" w:hAnsi="Times New Roman" w:cs="Times New Roman"/>
          <w:sz w:val="24"/>
          <w:szCs w:val="24"/>
        </w:rPr>
        <w:t xml:space="preserve">Human Rights Committee; (b) The Group of Three; (c) The Committee on Economic, Social and Cultural Rights; (d) The Committee on the Elimination of Racial Discrimination; (e) The Committee on the Elimination of Discrimination against women; (f) The Committee against Torture; and (g) The Committee on the Right of the Child. </w:t>
      </w:r>
      <w:r w:rsidRPr="00FB53D5">
        <w:rPr>
          <w:rFonts w:ascii="Times New Roman" w:hAnsi="Times New Roman" w:cs="Times New Roman"/>
          <w:sz w:val="24"/>
          <w:szCs w:val="24"/>
        </w:rPr>
        <w:lastRenderedPageBreak/>
        <w:t>These International Human Rights bodies supervise the enforcement of the relevant International Human Rights Convention by reviewing the information received from all reliable sources including, Reports from State Parties, Inter-Governmental and Non-Government Organizations and the communications alleging violation of human rights received from or on behalf of victims of such violations. Besides, such  procedure  as  of  good  offices  and  urgent  actions  developed to  meet  the exigencies. In addition to these bodies, even UN Special agencies such as the United Nations Educational, Scientific and Cultural Organizations (UNESCO) and the International Labor Organization (ILO) have developed their own system of supervision. But, it is the overall responsibility of the Commission on Human Rights to consider the question of violations of Human Rights and Fundamental Freedoms in all parts of the world. The Commission also undertakes actions on the situation of Human Rights in different parts of the world by appointing the Specialized Reporters and establishing the Working Groups</w:t>
      </w:r>
      <w:r w:rsidRPr="00FB53D5">
        <w:rPr>
          <w:rFonts w:ascii="Times New Roman" w:hAnsi="Times New Roman" w:cs="Times New Roman"/>
          <w:sz w:val="28"/>
          <w:szCs w:val="28"/>
        </w:rPr>
        <w:t>.</w:t>
      </w:r>
    </w:p>
    <w:p w:rsidR="00A82859" w:rsidRPr="00FB53D5" w:rsidRDefault="00A82859" w:rsidP="00A82859">
      <w:pPr>
        <w:pStyle w:val="ListParagraph"/>
        <w:spacing w:line="360" w:lineRule="auto"/>
        <w:jc w:val="both"/>
        <w:rPr>
          <w:rFonts w:ascii="Times New Roman" w:hAnsi="Times New Roman" w:cs="Times New Roman"/>
          <w:sz w:val="28"/>
          <w:szCs w:val="28"/>
        </w:rPr>
      </w:pPr>
    </w:p>
    <w:p w:rsidR="00A82859" w:rsidRPr="00A1374F" w:rsidRDefault="00A82859" w:rsidP="00A82859">
      <w:pPr>
        <w:spacing w:line="360" w:lineRule="auto"/>
        <w:jc w:val="both"/>
        <w:rPr>
          <w:rFonts w:ascii="Times New Roman" w:hAnsi="Times New Roman" w:cs="Times New Roman"/>
          <w:b/>
          <w:sz w:val="28"/>
          <w:szCs w:val="28"/>
        </w:rPr>
      </w:pPr>
      <w:r w:rsidRPr="00A1374F">
        <w:rPr>
          <w:rFonts w:ascii="Times New Roman" w:hAnsi="Times New Roman" w:cs="Times New Roman"/>
          <w:b/>
          <w:sz w:val="28"/>
          <w:szCs w:val="28"/>
        </w:rPr>
        <w:t>2.3</w:t>
      </w:r>
      <w:r>
        <w:rPr>
          <w:rStyle w:val="FootnoteReference"/>
          <w:rFonts w:ascii="Times New Roman" w:hAnsi="Times New Roman" w:cs="Times New Roman"/>
          <w:b/>
          <w:sz w:val="28"/>
          <w:szCs w:val="28"/>
        </w:rPr>
        <w:footnoteReference w:id="3"/>
      </w:r>
      <w:r w:rsidRPr="00A1374F">
        <w:rPr>
          <w:rFonts w:ascii="Times New Roman" w:hAnsi="Times New Roman" w:cs="Times New Roman"/>
          <w:b/>
          <w:sz w:val="28"/>
          <w:szCs w:val="28"/>
        </w:rPr>
        <w:t xml:space="preserve">   Types of enforcement mechanism</w:t>
      </w:r>
    </w:p>
    <w:p w:rsidR="00A82859" w:rsidRPr="00FB53D5" w:rsidRDefault="00A82859" w:rsidP="00A82859">
      <w:pPr>
        <w:pStyle w:val="ListParagraph"/>
        <w:numPr>
          <w:ilvl w:val="0"/>
          <w:numId w:val="3"/>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The enforcement mechanism of human rights is dividable into three broad categories, ., international, regional and national.</w:t>
      </w:r>
    </w:p>
    <w:p w:rsidR="00A82859" w:rsidRPr="00FB53D5" w:rsidRDefault="00A82859" w:rsidP="00A82859">
      <w:pPr>
        <w:pStyle w:val="ListParagraph"/>
        <w:numPr>
          <w:ilvl w:val="0"/>
          <w:numId w:val="3"/>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These mechanisms are set up by specific sources of international law particularly treaties which define the relevant substantive human rights obligations.</w:t>
      </w:r>
    </w:p>
    <w:p w:rsidR="00A82859" w:rsidRPr="00FB53D5" w:rsidRDefault="00A82859" w:rsidP="00A82859">
      <w:pPr>
        <w:pStyle w:val="ListParagraph"/>
        <w:numPr>
          <w:ilvl w:val="0"/>
          <w:numId w:val="3"/>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international mechanism under the UN alone is not enough to protect human rights throughout the world; rather regional and national human rights mechanisms have proven to be more effective and useful in protecting and promoting human rights, as they are not only complementary to the UN system, but also reflect the regional particularities . </w:t>
      </w:r>
    </w:p>
    <w:p w:rsidR="00A82859" w:rsidRPr="00FB53D5" w:rsidRDefault="00A82859" w:rsidP="00A82859">
      <w:pPr>
        <w:pStyle w:val="ListParagraph"/>
        <w:spacing w:line="360" w:lineRule="auto"/>
        <w:jc w:val="both"/>
        <w:rPr>
          <w:rFonts w:ascii="Times New Roman" w:hAnsi="Times New Roman" w:cs="Times New Roman"/>
          <w:sz w:val="24"/>
          <w:szCs w:val="24"/>
        </w:rPr>
      </w:pPr>
    </w:p>
    <w:p w:rsidR="00A82859" w:rsidRPr="00FB53D5" w:rsidRDefault="00A82859" w:rsidP="00A82859">
      <w:pPr>
        <w:pStyle w:val="ListParagraph"/>
        <w:numPr>
          <w:ilvl w:val="0"/>
          <w:numId w:val="3"/>
        </w:num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lastRenderedPageBreak/>
        <w:t>Among these three mechanisms, the national one is considered to be more fruitful and effective as it is needless for a victim of violation of human rights to seek the international or regional protection if that person gets the proper remedy under the domestic protection system through exhausting all the local remedies in his home country</w:t>
      </w:r>
    </w:p>
    <w:p w:rsidR="00A82859" w:rsidRPr="00FB53D5" w:rsidRDefault="00A82859" w:rsidP="00A82859">
      <w:pPr>
        <w:pStyle w:val="ListParagraph"/>
        <w:spacing w:line="360" w:lineRule="auto"/>
        <w:ind w:left="810"/>
        <w:jc w:val="both"/>
        <w:rPr>
          <w:rFonts w:ascii="Times New Roman" w:hAnsi="Times New Roman" w:cs="Times New Roman"/>
          <w:sz w:val="24"/>
          <w:szCs w:val="24"/>
        </w:rPr>
      </w:pPr>
    </w:p>
    <w:p w:rsidR="00A82859" w:rsidRPr="00FB53D5" w:rsidRDefault="00A82859" w:rsidP="00A82859">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international enforcement</w:t>
      </w:r>
      <w:r w:rsidRPr="00FB53D5">
        <w:rPr>
          <w:rFonts w:ascii="Times New Roman" w:hAnsi="Times New Roman" w:cs="Times New Roman"/>
          <w:sz w:val="24"/>
          <w:szCs w:val="24"/>
        </w:rPr>
        <w:t xml:space="preserve"> mechanism mainly depends upon different charter-based bodies and treaty-bodies functioning under the supervision of the UN. Conversely, the national mechanism relies on the supreme law, domestic legislations, independent judiciary, right-based institutional framework and effective harmonization among the three organs of the government, i.e., the executive, legislature and judiciary. Among these three vital organs of the government, the executive is found to be the most violator of human rights while the judiciary is considered to be acting as the protector of human rights through the judicial activism and review</w:t>
      </w:r>
    </w:p>
    <w:p w:rsidR="00A82859" w:rsidRPr="00FB53D5" w:rsidRDefault="00A82859" w:rsidP="00A82859">
      <w:pPr>
        <w:spacing w:line="360" w:lineRule="auto"/>
        <w:ind w:left="450"/>
        <w:jc w:val="both"/>
        <w:rPr>
          <w:rFonts w:ascii="Times New Roman" w:hAnsi="Times New Roman" w:cs="Times New Roman"/>
          <w:sz w:val="28"/>
          <w:szCs w:val="28"/>
        </w:rPr>
      </w:pPr>
      <w:r w:rsidRPr="00FB53D5">
        <w:rPr>
          <w:rFonts w:ascii="Times New Roman" w:hAnsi="Times New Roman" w:cs="Times New Roman"/>
          <w:sz w:val="28"/>
          <w:szCs w:val="28"/>
        </w:rPr>
        <w:t xml:space="preserve"> </w:t>
      </w:r>
    </w:p>
    <w:p w:rsidR="00A82859" w:rsidRPr="00FB53D5" w:rsidRDefault="00A82859" w:rsidP="00A82859">
      <w:pPr>
        <w:pStyle w:val="ListParagraph"/>
        <w:numPr>
          <w:ilvl w:val="0"/>
          <w:numId w:val="3"/>
        </w:numPr>
        <w:spacing w:line="360" w:lineRule="auto"/>
        <w:jc w:val="both"/>
        <w:rPr>
          <w:rFonts w:ascii="Times New Roman" w:hAnsi="Times New Roman" w:cs="Times New Roman"/>
          <w:b/>
          <w:sz w:val="28"/>
          <w:szCs w:val="28"/>
        </w:rPr>
      </w:pPr>
      <w:r>
        <w:rPr>
          <w:rStyle w:val="FootnoteReference"/>
          <w:rFonts w:ascii="Times New Roman" w:hAnsi="Times New Roman" w:cs="Times New Roman"/>
          <w:b/>
          <w:sz w:val="28"/>
          <w:szCs w:val="28"/>
        </w:rPr>
        <w:footnoteReference w:id="4"/>
      </w:r>
      <w:r w:rsidRPr="00FB53D5">
        <w:rPr>
          <w:rFonts w:ascii="Times New Roman" w:hAnsi="Times New Roman" w:cs="Times New Roman"/>
          <w:b/>
          <w:sz w:val="28"/>
          <w:szCs w:val="28"/>
        </w:rPr>
        <w:t>And the other two important mechanism are</w:t>
      </w:r>
    </w:p>
    <w:p w:rsidR="00A82859" w:rsidRPr="008246BF" w:rsidRDefault="00A82859" w:rsidP="00A82859">
      <w:pPr>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sidRPr="008246BF">
        <w:rPr>
          <w:rFonts w:ascii="Times New Roman" w:hAnsi="Times New Roman" w:cs="Times New Roman"/>
          <w:b/>
          <w:sz w:val="28"/>
          <w:szCs w:val="28"/>
        </w:rPr>
        <w:t>a) Enforcement of Civil and Political Rights:</w:t>
      </w:r>
    </w:p>
    <w:p w:rsidR="00A82859" w:rsidRPr="00FB53D5" w:rsidRDefault="00A82859" w:rsidP="00A82859">
      <w:pPr>
        <w:pStyle w:val="ListParagraph"/>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Free human beings enjoy civil and political freedom; and freedom from fear and want can only be achieved if conditions are created whereby everyone may enjoy his civil and political right, as well as cultural rights. Article 28 provide for the establishment of a Human Rights Committee which was duly established in 1977 to monitor the implementation of the above covenant. The principal function of the Human Rights under this covenant is to study reports on the measures State Parties have adopted to give effect to the rights recognized in the covenant and the progress made in the enjoyment of those </w:t>
      </w:r>
      <w:r w:rsidRPr="00FB53D5">
        <w:rPr>
          <w:rFonts w:ascii="Times New Roman" w:hAnsi="Times New Roman" w:cs="Times New Roman"/>
          <w:sz w:val="24"/>
          <w:szCs w:val="24"/>
        </w:rPr>
        <w:lastRenderedPageBreak/>
        <w:t>rights. It deals with formulating and transmitting to the States Parties such general comments as it may consider appropriate.</w:t>
      </w:r>
    </w:p>
    <w:p w:rsidR="00A82859" w:rsidRPr="00FB53D5" w:rsidRDefault="00A82859" w:rsidP="00A82859">
      <w:pPr>
        <w:pStyle w:val="ListParagraph"/>
        <w:spacing w:line="360" w:lineRule="auto"/>
        <w:jc w:val="both"/>
        <w:rPr>
          <w:rFonts w:ascii="Times New Roman" w:hAnsi="Times New Roman" w:cs="Times New Roman"/>
          <w:sz w:val="28"/>
          <w:szCs w:val="28"/>
        </w:rPr>
      </w:pPr>
      <w:r w:rsidRPr="00FB53D5">
        <w:rPr>
          <w:rFonts w:ascii="Times New Roman" w:hAnsi="Times New Roman" w:cs="Times New Roman"/>
          <w:sz w:val="24"/>
          <w:szCs w:val="24"/>
        </w:rPr>
        <w:t>Similarly, it also entertains and examines inter-state communication on the subject-matter of Human Rights violations. The Human Rights Committee is also empowered under the Optional Protocol to the International Covenant on Civil and Political Rights to receive and consider communications from individuals claiming to be victims of any Human Rights violations set forth in the covenant provided he has exhausted all available domestic remedies</w:t>
      </w:r>
      <w:r w:rsidRPr="00FB53D5">
        <w:rPr>
          <w:rFonts w:ascii="Times New Roman" w:hAnsi="Times New Roman" w:cs="Times New Roman"/>
          <w:sz w:val="28"/>
          <w:szCs w:val="28"/>
        </w:rPr>
        <w:t>.</w:t>
      </w:r>
    </w:p>
    <w:p w:rsidR="00A82859" w:rsidRPr="00FB53D5" w:rsidRDefault="00A82859" w:rsidP="00A82859">
      <w:pPr>
        <w:pStyle w:val="ListParagraph"/>
        <w:spacing w:line="360" w:lineRule="auto"/>
        <w:jc w:val="both"/>
        <w:rPr>
          <w:rFonts w:ascii="Times New Roman" w:hAnsi="Times New Roman" w:cs="Times New Roman"/>
          <w:b/>
          <w:sz w:val="28"/>
          <w:szCs w:val="28"/>
        </w:rPr>
      </w:pPr>
      <w:r w:rsidRPr="00FB53D5">
        <w:rPr>
          <w:rFonts w:ascii="Times New Roman" w:hAnsi="Times New Roman" w:cs="Times New Roman"/>
          <w:b/>
          <w:sz w:val="28"/>
          <w:szCs w:val="28"/>
        </w:rPr>
        <w:t xml:space="preserve"> </w:t>
      </w:r>
    </w:p>
    <w:p w:rsidR="00A82859" w:rsidRPr="00FB53D5" w:rsidRDefault="00A82859" w:rsidP="00A82859">
      <w:pPr>
        <w:pStyle w:val="ListParagraph"/>
        <w:spacing w:line="360" w:lineRule="auto"/>
        <w:jc w:val="both"/>
        <w:rPr>
          <w:rFonts w:ascii="Times New Roman" w:hAnsi="Times New Roman" w:cs="Times New Roman"/>
          <w:sz w:val="28"/>
          <w:szCs w:val="28"/>
        </w:rPr>
      </w:pPr>
      <w:r w:rsidRPr="00FB53D5">
        <w:rPr>
          <w:rFonts w:ascii="Times New Roman" w:hAnsi="Times New Roman" w:cs="Times New Roman"/>
          <w:b/>
          <w:sz w:val="28"/>
          <w:szCs w:val="28"/>
        </w:rPr>
        <w:t>b</w:t>
      </w:r>
      <w:r>
        <w:rPr>
          <w:rStyle w:val="FootnoteReference"/>
          <w:rFonts w:ascii="Times New Roman" w:hAnsi="Times New Roman" w:cs="Times New Roman"/>
          <w:b/>
          <w:sz w:val="28"/>
          <w:szCs w:val="28"/>
        </w:rPr>
        <w:footnoteReference w:id="5"/>
      </w:r>
      <w:r w:rsidRPr="00FB53D5">
        <w:rPr>
          <w:rFonts w:ascii="Times New Roman" w:hAnsi="Times New Roman" w:cs="Times New Roman"/>
          <w:b/>
          <w:sz w:val="28"/>
          <w:szCs w:val="28"/>
        </w:rPr>
        <w:t>) Enforcement of Economic, Social and Cultural Rights</w:t>
      </w:r>
      <w:r w:rsidRPr="00FB53D5">
        <w:rPr>
          <w:rFonts w:ascii="Times New Roman" w:hAnsi="Times New Roman" w:cs="Times New Roman"/>
          <w:sz w:val="28"/>
          <w:szCs w:val="28"/>
        </w:rPr>
        <w:t>:</w:t>
      </w:r>
    </w:p>
    <w:p w:rsidR="00A82859" w:rsidRPr="00FB53D5" w:rsidRDefault="00A82859" w:rsidP="00A82859">
      <w:pPr>
        <w:pStyle w:val="ListParagraph"/>
        <w:spacing w:line="360" w:lineRule="auto"/>
        <w:jc w:val="both"/>
        <w:rPr>
          <w:rFonts w:ascii="Times New Roman" w:hAnsi="Times New Roman" w:cs="Times New Roman"/>
          <w:sz w:val="28"/>
          <w:szCs w:val="28"/>
        </w:rPr>
      </w:pPr>
    </w:p>
    <w:p w:rsidR="00A82859" w:rsidRPr="002A578C" w:rsidRDefault="00A82859" w:rsidP="00A82859">
      <w:pPr>
        <w:pStyle w:val="ListParagraph"/>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Covenant on Economic, Social and Cultural Rights also has established a Committee to monitor the implementation of the provisions of the relevant International covenant in all the State Parties. The main function of this committee is to examine the reports submitted by the State Parties on the measures adopted by them and the progress made in achieving the rights contained in the International Covenant on Economic, Social and Cultural Right. A five member working will be appointed which meets to study the report in order to indentify the points which may be discussed with the representatives of the State Parties. The Nongovernmental Organizations (NGOs) are also authorized by the Economic and Social Council to submit statement to contribute towards the realization of the rights under the present covenant. The Committee then prepares a summary of these considerations and submits it to the Economic and Social Council together with its own suggestions and recommendations of general in </w:t>
      </w:r>
      <w:r>
        <w:rPr>
          <w:rFonts w:ascii="Times New Roman" w:hAnsi="Times New Roman" w:cs="Times New Roman"/>
          <w:sz w:val="24"/>
          <w:szCs w:val="24"/>
        </w:rPr>
        <w:t>nature.</w:t>
      </w:r>
      <w:r w:rsidRPr="00AB36E0">
        <w:rPr>
          <w:rFonts w:ascii="Times New Roman" w:hAnsi="Times New Roman" w:cs="Times New Roman"/>
          <w:b/>
          <w:sz w:val="28"/>
          <w:szCs w:val="28"/>
        </w:rPr>
        <w:t xml:space="preserve">   </w:t>
      </w:r>
    </w:p>
    <w:p w:rsidR="00A82859" w:rsidRPr="008246BF" w:rsidRDefault="00A82859" w:rsidP="00A82859">
      <w:pPr>
        <w:pStyle w:val="ListParagraph"/>
        <w:rPr>
          <w:rFonts w:ascii="Times New Roman" w:hAnsi="Times New Roman" w:cs="Times New Roman"/>
          <w:b/>
          <w:sz w:val="28"/>
          <w:szCs w:val="28"/>
        </w:rPr>
      </w:pPr>
      <w:r>
        <w:rPr>
          <w:rFonts w:ascii="Times New Roman" w:hAnsi="Times New Roman" w:cs="Times New Roman"/>
          <w:b/>
          <w:sz w:val="28"/>
          <w:szCs w:val="28"/>
        </w:rPr>
        <w:t xml:space="preserve">     </w:t>
      </w:r>
      <w:r w:rsidRPr="00FB53D5">
        <w:rPr>
          <w:rFonts w:ascii="Times New Roman" w:hAnsi="Times New Roman" w:cs="Times New Roman"/>
          <w:b/>
          <w:sz w:val="28"/>
          <w:szCs w:val="28"/>
        </w:rPr>
        <w:t xml:space="preserve">                   </w:t>
      </w:r>
    </w:p>
    <w:p w:rsidR="00A82859" w:rsidRDefault="00A82859" w:rsidP="00A82859">
      <w:pPr>
        <w:pStyle w:val="ListParagraph"/>
        <w:jc w:val="center"/>
        <w:rPr>
          <w:rFonts w:ascii="Times New Roman" w:hAnsi="Times New Roman" w:cs="Times New Roman"/>
          <w:b/>
          <w:sz w:val="28"/>
          <w:szCs w:val="28"/>
        </w:rPr>
      </w:pPr>
    </w:p>
    <w:p w:rsidR="00A82859" w:rsidRDefault="00A82859" w:rsidP="00A82859">
      <w:pPr>
        <w:pStyle w:val="ListParagraph"/>
        <w:jc w:val="center"/>
        <w:rPr>
          <w:rFonts w:ascii="Times New Roman" w:hAnsi="Times New Roman" w:cs="Times New Roman"/>
          <w:b/>
          <w:sz w:val="28"/>
          <w:szCs w:val="28"/>
        </w:rPr>
      </w:pPr>
    </w:p>
    <w:p w:rsidR="00A82859" w:rsidRPr="00FB53D5" w:rsidRDefault="00A82859" w:rsidP="00A82859">
      <w:pPr>
        <w:pStyle w:val="ListParagraph"/>
        <w:jc w:val="center"/>
        <w:rPr>
          <w:rFonts w:ascii="Times New Roman" w:hAnsi="Times New Roman" w:cs="Times New Roman"/>
          <w:b/>
          <w:sz w:val="28"/>
          <w:szCs w:val="28"/>
        </w:rPr>
      </w:pPr>
      <w:r w:rsidRPr="00FB53D5">
        <w:rPr>
          <w:rFonts w:ascii="Times New Roman" w:hAnsi="Times New Roman" w:cs="Times New Roman"/>
          <w:b/>
          <w:sz w:val="28"/>
          <w:szCs w:val="28"/>
        </w:rPr>
        <w:lastRenderedPageBreak/>
        <w:t>CHAPTER 3</w:t>
      </w:r>
    </w:p>
    <w:p w:rsidR="00A82859" w:rsidRPr="00FB53D5" w:rsidRDefault="00A82859" w:rsidP="00A82859">
      <w:pPr>
        <w:pStyle w:val="ListParagraph"/>
        <w:jc w:val="center"/>
        <w:rPr>
          <w:rFonts w:ascii="Times New Roman" w:hAnsi="Times New Roman" w:cs="Times New Roman"/>
          <w:b/>
          <w:sz w:val="28"/>
          <w:szCs w:val="28"/>
        </w:rPr>
      </w:pPr>
    </w:p>
    <w:p w:rsidR="00A82859" w:rsidRPr="00FB53D5" w:rsidRDefault="00A82859" w:rsidP="00A82859">
      <w:pPr>
        <w:pStyle w:val="ListParagraph"/>
        <w:jc w:val="center"/>
        <w:rPr>
          <w:rFonts w:ascii="Times New Roman" w:hAnsi="Times New Roman" w:cs="Times New Roman"/>
          <w:b/>
          <w:sz w:val="28"/>
          <w:szCs w:val="28"/>
        </w:rPr>
      </w:pPr>
      <w:r w:rsidRPr="00FB53D5">
        <w:rPr>
          <w:rFonts w:ascii="Times New Roman" w:hAnsi="Times New Roman" w:cs="Times New Roman"/>
          <w:b/>
          <w:sz w:val="28"/>
          <w:szCs w:val="28"/>
        </w:rPr>
        <w:t>Enforcement Mechanism of Human Right International Arena</w:t>
      </w:r>
    </w:p>
    <w:p w:rsidR="00A82859" w:rsidRPr="00FB53D5" w:rsidRDefault="00A82859" w:rsidP="00A82859">
      <w:pPr>
        <w:pStyle w:val="ListParagraph"/>
        <w:jc w:val="center"/>
        <w:rPr>
          <w:rFonts w:ascii="Times New Roman" w:hAnsi="Times New Roman" w:cs="Times New Roman"/>
          <w:b/>
          <w:sz w:val="28"/>
          <w:szCs w:val="28"/>
        </w:rPr>
      </w:pPr>
    </w:p>
    <w:p w:rsidR="00A82859" w:rsidRPr="00A1374F" w:rsidRDefault="00A82859" w:rsidP="00A82859">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3.1 </w:t>
      </w:r>
      <w:r w:rsidRPr="00A1374F">
        <w:rPr>
          <w:rFonts w:ascii="Times New Roman" w:hAnsi="Times New Roman" w:cs="Times New Roman"/>
          <w:b/>
          <w:sz w:val="28"/>
          <w:szCs w:val="28"/>
        </w:rPr>
        <w:t>Introduction</w:t>
      </w:r>
    </w:p>
    <w:p w:rsidR="00A82859" w:rsidRPr="00FB53D5" w:rsidRDefault="00A82859" w:rsidP="00B40237">
      <w:pPr>
        <w:spacing w:line="360" w:lineRule="auto"/>
        <w:jc w:val="both"/>
        <w:rPr>
          <w:rFonts w:ascii="Times New Roman" w:hAnsi="Times New Roman" w:cs="Times New Roman"/>
          <w:sz w:val="24"/>
          <w:szCs w:val="24"/>
        </w:rPr>
      </w:pPr>
      <w:r w:rsidRPr="00AB36E0">
        <w:rPr>
          <w:rFonts w:ascii="Times New Roman" w:hAnsi="Times New Roman" w:cs="Times New Roman"/>
          <w:sz w:val="24"/>
          <w:szCs w:val="24"/>
        </w:rPr>
        <w:t xml:space="preserve">The  enforcement of human rights has been guaranteed by the establishment of the United Nations (UN) in 1945 and thereafter with the adoption of a resolution on the Universal Declaration of Human Rights (UDHR) in December, 1948.v Although being a resolution it does not impose legal obligations upon the member states, rather it sets a common standard of achievement for all people and all nations so that they strive to promote respect for human rights and fundamental freedoms by teaching and educating and by adopting progressive measures in this regard. The expression “human rights” denotes all </w:t>
      </w:r>
      <w:r w:rsidRPr="00FB53D5">
        <w:rPr>
          <w:rFonts w:ascii="Times New Roman" w:hAnsi="Times New Roman" w:cs="Times New Roman"/>
          <w:sz w:val="24"/>
          <w:szCs w:val="24"/>
        </w:rPr>
        <w:t>those rights which are inherent in our nature and without which we cannot live as human beings.vi Human rights are the eternal part of the nature of human beings which are essential for the development of their personality, qualities, intelligence, talent and conscience. They are inalienable rights which are enjoyed equally by all members of the human society. This paper is an attempt to discuss various international and national enforcement mechanisms for the protection and enforcement of human rights and fundamental freedoms.</w:t>
      </w:r>
    </w:p>
    <w:p w:rsidR="00A82859" w:rsidRPr="00FB53D5" w:rsidRDefault="00A82859" w:rsidP="00A82859">
      <w:pPr>
        <w:pStyle w:val="ListParagraph"/>
        <w:spacing w:line="360" w:lineRule="auto"/>
        <w:jc w:val="both"/>
        <w:rPr>
          <w:rFonts w:ascii="Times New Roman" w:hAnsi="Times New Roman" w:cs="Times New Roman"/>
          <w:sz w:val="28"/>
          <w:szCs w:val="28"/>
        </w:rPr>
      </w:pPr>
    </w:p>
    <w:p w:rsidR="00A82859" w:rsidRPr="00FB53D5" w:rsidRDefault="00A82859" w:rsidP="00B40237">
      <w:pPr>
        <w:spacing w:line="240" w:lineRule="auto"/>
        <w:jc w:val="both"/>
        <w:rPr>
          <w:rFonts w:ascii="Times New Roman" w:hAnsi="Times New Roman" w:cs="Times New Roman"/>
          <w:sz w:val="28"/>
          <w:szCs w:val="28"/>
        </w:rPr>
      </w:pPr>
      <w:r w:rsidRPr="00FB53D5">
        <w:rPr>
          <w:rFonts w:ascii="Times New Roman" w:hAnsi="Times New Roman" w:cs="Times New Roman"/>
          <w:b/>
          <w:sz w:val="28"/>
          <w:szCs w:val="28"/>
        </w:rPr>
        <w:t>3.2</w:t>
      </w:r>
      <w:r>
        <w:rPr>
          <w:rStyle w:val="FootnoteReference"/>
          <w:rFonts w:ascii="Times New Roman" w:hAnsi="Times New Roman" w:cs="Times New Roman"/>
          <w:b/>
          <w:sz w:val="28"/>
          <w:szCs w:val="28"/>
        </w:rPr>
        <w:footnoteReference w:id="6"/>
      </w:r>
      <w:r w:rsidRPr="00FB53D5">
        <w:rPr>
          <w:rFonts w:ascii="Times New Roman" w:hAnsi="Times New Roman" w:cs="Times New Roman"/>
          <w:b/>
          <w:sz w:val="28"/>
          <w:szCs w:val="28"/>
        </w:rPr>
        <w:t xml:space="preserve"> The UN Charter-based Mechanisms</w:t>
      </w:r>
      <w:r w:rsidRPr="00FB53D5">
        <w:rPr>
          <w:rFonts w:ascii="Times New Roman" w:hAnsi="Times New Roman" w:cs="Times New Roman"/>
          <w:sz w:val="28"/>
          <w:szCs w:val="28"/>
        </w:rPr>
        <w:t xml:space="preserve">  </w:t>
      </w:r>
    </w:p>
    <w:p w:rsidR="00A82859" w:rsidRPr="00FB53D5" w:rsidRDefault="00A82859" w:rsidP="00B40237">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The mechanisms conducted and actions taken by the UN Charter based bodies in the protection and promotion</w:t>
      </w:r>
      <w:r>
        <w:rPr>
          <w:rFonts w:ascii="Times New Roman" w:hAnsi="Times New Roman" w:cs="Times New Roman"/>
          <w:sz w:val="24"/>
          <w:szCs w:val="24"/>
        </w:rPr>
        <w:t xml:space="preserve"> of </w:t>
      </w:r>
      <w:r w:rsidRPr="00FB53D5">
        <w:rPr>
          <w:rFonts w:ascii="Times New Roman" w:hAnsi="Times New Roman" w:cs="Times New Roman"/>
          <w:sz w:val="24"/>
          <w:szCs w:val="24"/>
        </w:rPr>
        <w:t xml:space="preserve">human rights worldwide are called the charter-based mechanisms. The UN Charter-based human rights mechanism embraces organs and procedures dealing directly with human rights in the framework of the UN Kedzia, 2003, p. 53). The Charter-based mechanisms derive their legitimacy and mandate from the human rights related provisions of the UN Charter, 1945. These mechanisms include inter alia the inter-governmental organs established on the </w:t>
      </w:r>
      <w:r w:rsidRPr="00FB53D5">
        <w:rPr>
          <w:rFonts w:ascii="Times New Roman" w:hAnsi="Times New Roman" w:cs="Times New Roman"/>
          <w:sz w:val="24"/>
          <w:szCs w:val="24"/>
        </w:rPr>
        <w:lastRenderedPageBreak/>
        <w:t xml:space="preserve">basis of the UN Charter, e.g., the UNGA, Security Council, ECOSOC and the UN Human Rights Council, the Commission on Status of Women, procedures and the parts of the UN Secretariat responsible for human rights activities.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The UNGA is one of the main Charter-based bodies that is also called the chief executive body as well as the plenary organ of the UN is created under the Charter as a platform where all states can debate any relevant matter with the Assembly having a broad competence to consider human rights issues (Bailey, 1964, p. 25). As per the provisions of the Charter, the powers of the UNGA are of deliberative or recommendatory nature. Under article 13(1) (b) of the Charter, the UNGA has two principle obligations in matters of human rights: to initiate studies and to make recommendations for the purpose of assisting in the realization of human rights and fundamental freedoms for all. The UNGA plays a key role in preparing, drafting and adopting international treaties. Resolutions declaring human rights standards or condemning violations of human rights are adopted at the UNGA. Again, the Security Council is another principal organ of the UN that belongs to 15 members and acts as the executive body of the UN with its primary responsibility being to maintain international peace and security (Article 24(1)). For example, the massive humanitarian intervention was sanctioned by the Security Council in territories of the former Yugoslavia and Somalia in 1992 for human rights violations. The ICJ is the principal judicial organ of the UN which was established in 1946 as the successor to the PCIJ (Article 36). All members of the UN are ipso facto members of ICJ the jurisdiction of which is advisory.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ECOSOC is another vital organ of the UN that is responsible for monitoring the overall human rights situations in states and also has the power to take initiatives in adopting resolutions on economic, social and cultural rights. ECOSOC may initiate studies on a range of subjects and may make recommendations to the UNGA, members of the UN and to the relevant specialized agencies (Article 62). It may also prepare draft treaties and call international conferences. Under article 68 of the Charter, the UNGA requires the ECOSOC to set up Commissions to contribute in the economic and social fields and for the protection and promotion of human rights worldwide. In its first meeting in 1946 the Council established two functional Commissions: the UN Commission on Human Rights and the UN Commission on the Status of Women. The Sub-Commission on the Protection and Promotion of Human Rights was established in 1947 as a subsidiary organ of the ECOSOC and the Commission on Human Rights. The UN Commission </w:t>
      </w:r>
      <w:r w:rsidRPr="00FB53D5">
        <w:rPr>
          <w:rFonts w:ascii="Times New Roman" w:hAnsi="Times New Roman" w:cs="Times New Roman"/>
          <w:sz w:val="24"/>
          <w:szCs w:val="24"/>
        </w:rPr>
        <w:lastRenderedPageBreak/>
        <w:t xml:space="preserve">on Human Rights is responsible for drafting human rights treaties and declarations before they are placed before the UNGA for adoption. It undertakes specialized training programs and conferences on human rights issues and also follows set procedures for considering and condemning breaches of human rights by states. The procedures are discussed below: </w:t>
      </w:r>
    </w:p>
    <w:p w:rsidR="00A82859" w:rsidRPr="00FB53D5" w:rsidRDefault="00A82859" w:rsidP="00A82859">
      <w:pPr>
        <w:spacing w:line="360" w:lineRule="auto"/>
        <w:jc w:val="both"/>
        <w:rPr>
          <w:rFonts w:ascii="Times New Roman" w:hAnsi="Times New Roman" w:cs="Times New Roman"/>
          <w:b/>
          <w:sz w:val="28"/>
          <w:szCs w:val="28"/>
        </w:rPr>
      </w:pPr>
    </w:p>
    <w:p w:rsidR="00A82859" w:rsidRPr="00FB53D5"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b/>
          <w:sz w:val="28"/>
          <w:szCs w:val="28"/>
        </w:rPr>
        <w:t>3.3 The Complaint Procedures of UN on Human Rights</w:t>
      </w:r>
    </w:p>
    <w:p w:rsidR="00A82859" w:rsidRPr="00FB53D5" w:rsidRDefault="00A82859" w:rsidP="00A82859">
      <w:pPr>
        <w:pStyle w:val="NoSpacing"/>
        <w:spacing w:line="360" w:lineRule="auto"/>
        <w:jc w:val="both"/>
        <w:rPr>
          <w:rFonts w:ascii="Times New Roman" w:hAnsi="Times New Roman" w:cs="Times New Roman"/>
          <w:b/>
        </w:rPr>
      </w:pPr>
      <w:r w:rsidRPr="00FB53D5">
        <w:rPr>
          <w:rFonts w:ascii="Times New Roman" w:hAnsi="Times New Roman" w:cs="Times New Roman"/>
        </w:rPr>
        <w:t xml:space="preserve"> The UN has devised complaint procedure as a mechanism to redress the violation of human rights in view of the fact that existing measures are insufficient to cope with the growing number allegations regarding human rights violations. These procedures expressly contemplate the submission of complaints by individuals or group of individuals</w:t>
      </w:r>
      <w:r w:rsidRPr="00FB53D5">
        <w:rPr>
          <w:rFonts w:ascii="Times New Roman" w:hAnsi="Times New Roman" w:cs="Times New Roman"/>
          <w:b/>
        </w:rPr>
        <w:t xml:space="preserve"> </w:t>
      </w:r>
    </w:p>
    <w:p w:rsidR="00A82859" w:rsidRPr="00FB53D5" w:rsidRDefault="00A82859" w:rsidP="00A82859">
      <w:pPr>
        <w:pStyle w:val="NoSpacing"/>
        <w:spacing w:line="360" w:lineRule="auto"/>
        <w:jc w:val="both"/>
        <w:rPr>
          <w:rFonts w:ascii="Times New Roman" w:hAnsi="Times New Roman" w:cs="Times New Roman"/>
          <w:b/>
          <w:sz w:val="28"/>
          <w:szCs w:val="28"/>
        </w:rPr>
      </w:pPr>
    </w:p>
    <w:p w:rsidR="00A82859" w:rsidRPr="00FB53D5" w:rsidRDefault="00A82859" w:rsidP="00A82859">
      <w:pPr>
        <w:pStyle w:val="NoSpacing"/>
        <w:spacing w:line="360" w:lineRule="auto"/>
        <w:jc w:val="both"/>
        <w:rPr>
          <w:rFonts w:ascii="Times New Roman" w:hAnsi="Times New Roman" w:cs="Times New Roman"/>
          <w:b/>
          <w:sz w:val="28"/>
          <w:szCs w:val="28"/>
        </w:rPr>
      </w:pPr>
      <w:r w:rsidRPr="00FB53D5">
        <w:rPr>
          <w:rFonts w:ascii="Times New Roman" w:hAnsi="Times New Roman" w:cs="Times New Roman"/>
          <w:b/>
          <w:sz w:val="28"/>
          <w:szCs w:val="28"/>
        </w:rPr>
        <w:t xml:space="preserve">(a)The 1503 Procedure/Permanent Mechanism </w:t>
      </w:r>
    </w:p>
    <w:p w:rsidR="00A82859" w:rsidRPr="00FB53D5" w:rsidRDefault="00A82859" w:rsidP="00A82859">
      <w:pPr>
        <w:pStyle w:val="NoSpacing"/>
        <w:spacing w:line="360" w:lineRule="auto"/>
        <w:jc w:val="both"/>
        <w:rPr>
          <w:rFonts w:ascii="Times New Roman" w:hAnsi="Times New Roman" w:cs="Times New Roman"/>
          <w:sz w:val="24"/>
          <w:szCs w:val="24"/>
        </w:rPr>
      </w:pPr>
    </w:p>
    <w:p w:rsidR="00A82859" w:rsidRPr="00FB53D5" w:rsidRDefault="00A82859" w:rsidP="00A82859">
      <w:pPr>
        <w:pStyle w:val="NoSpacing"/>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1503 procedure (ECOSOC Resolution No. 1503 XLVIII) is a greatly improved procedure as well as a universal mechanism of implementation of human rights which was devised by the ECOSOC in 1970 that authorizes confidential examination of complaints/communications from individuals and NGOs on 'situations which appear to reveal a consistent pattern of gross violations of human rights'. This is also called the permanent and confidential mechanism of implementation of human rights that empowers two Charter-based bodies, i.e., the UN Commission on Human Rights and the Sub-Commission on the Protection and Promotion of Human Rights to examine complaints which appear to show consistent patterns of gross and reliably attested violations of human rights.  This procedure also involves the entire hierarchy of the UN Charter-based bodies, i.e., the UNGA, ECOSOC, the Sub Commission on Prevention of Discrimination and Protection of Minorities (Optional Protocol - I, ICCPR 1966). </w:t>
      </w:r>
    </w:p>
    <w:p w:rsidR="00A82859" w:rsidRPr="00FB53D5" w:rsidRDefault="00A82859" w:rsidP="00A82859">
      <w:pPr>
        <w:spacing w:line="360" w:lineRule="auto"/>
        <w:jc w:val="both"/>
        <w:rPr>
          <w:rFonts w:ascii="Times New Roman" w:hAnsi="Times New Roman" w:cs="Times New Roman"/>
          <w:sz w:val="28"/>
          <w:szCs w:val="28"/>
        </w:rPr>
      </w:pPr>
    </w:p>
    <w:p w:rsidR="00A82859" w:rsidRPr="00FB53D5" w:rsidRDefault="00A82859" w:rsidP="00A82859">
      <w:pPr>
        <w:spacing w:line="240" w:lineRule="auto"/>
        <w:jc w:val="both"/>
        <w:rPr>
          <w:rFonts w:ascii="Times New Roman" w:hAnsi="Times New Roman" w:cs="Times New Roman"/>
          <w:sz w:val="28"/>
          <w:szCs w:val="28"/>
        </w:rPr>
      </w:pPr>
      <w:r w:rsidRPr="00FB53D5">
        <w:rPr>
          <w:rFonts w:ascii="Times New Roman" w:hAnsi="Times New Roman" w:cs="Times New Roman"/>
          <w:b/>
          <w:sz w:val="28"/>
          <w:szCs w:val="28"/>
        </w:rPr>
        <w:t>(b) The 1235 Procedure/Public Procedure</w:t>
      </w:r>
      <w:r w:rsidRPr="00FB53D5">
        <w:rPr>
          <w:rFonts w:ascii="Times New Roman" w:hAnsi="Times New Roman" w:cs="Times New Roman"/>
          <w:sz w:val="28"/>
          <w:szCs w:val="28"/>
        </w:rPr>
        <w:t xml:space="preserv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1235 procedure which is also called the public procedure was established by the ECOSOC in 1967 that empowers the Commission and its Sub-Commission to appoint special reporters, </w:t>
      </w:r>
      <w:r w:rsidRPr="00FB53D5">
        <w:rPr>
          <w:rFonts w:ascii="Times New Roman" w:hAnsi="Times New Roman" w:cs="Times New Roman"/>
          <w:sz w:val="24"/>
          <w:szCs w:val="24"/>
        </w:rPr>
        <w:lastRenderedPageBreak/>
        <w:t xml:space="preserve">envoys, representatives or working groups to observe the areas of human rights violations within states and examine in detail whether there is any consistent pattern of such violation. For instance, South Africa, Cuba, Namibia and Rhodesia were the initial states subject to the 1235 procedure. The main aim of this procedure is to conduct public debate on human rights situations in a state.   </w:t>
      </w:r>
    </w:p>
    <w:p w:rsidR="00A82859" w:rsidRPr="00FB53D5" w:rsidRDefault="00A82859" w:rsidP="00A82859">
      <w:pPr>
        <w:spacing w:line="240" w:lineRule="auto"/>
        <w:jc w:val="both"/>
        <w:rPr>
          <w:rFonts w:ascii="Times New Roman" w:hAnsi="Times New Roman" w:cs="Times New Roman"/>
          <w:sz w:val="28"/>
          <w:szCs w:val="28"/>
        </w:rPr>
      </w:pPr>
      <w:r w:rsidRPr="00FB53D5">
        <w:rPr>
          <w:rFonts w:ascii="Times New Roman" w:hAnsi="Times New Roman" w:cs="Times New Roman"/>
          <w:sz w:val="28"/>
          <w:szCs w:val="28"/>
        </w:rPr>
        <w:t xml:space="preserve"> </w:t>
      </w:r>
      <w:r w:rsidRPr="00FB53D5">
        <w:rPr>
          <w:rFonts w:ascii="Times New Roman" w:hAnsi="Times New Roman" w:cs="Times New Roman"/>
          <w:b/>
          <w:sz w:val="28"/>
          <w:szCs w:val="28"/>
        </w:rPr>
        <w:t>(c) Other Special Procedures</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8"/>
          <w:szCs w:val="28"/>
        </w:rPr>
        <w:t xml:space="preserve"> </w:t>
      </w:r>
      <w:r w:rsidRPr="00FB53D5">
        <w:rPr>
          <w:rFonts w:ascii="Times New Roman" w:hAnsi="Times New Roman" w:cs="Times New Roman"/>
          <w:sz w:val="24"/>
          <w:szCs w:val="24"/>
        </w:rPr>
        <w:t xml:space="preserve">The UN has also devised special procedures to deal with specific human rights issues. The UN Human Rights Council has obligations for the special procedures, including those originally established by the UN Human Rights Commission. These procedures include appointments of special reporters, representatives, independent experts and working groups that investigate, discuss and report on specific human rights issues under a country mandate or thematic mandate.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Apart from the above procedures the UN has also devised so many procedures, undertaken actions, policies and strategies to deal with gross violation of human rights of individuals through communications, fact-finding bodies, special reporters etc. It also undertakes programs, study, advices in the field of human rights in terms of educating the people throughout the world exchanging information and dealing with structural issues.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w:t>
      </w:r>
    </w:p>
    <w:p w:rsidR="00A82859" w:rsidRPr="00FB53D5" w:rsidRDefault="00A82859" w:rsidP="00A82859">
      <w:pPr>
        <w:spacing w:line="240" w:lineRule="auto"/>
        <w:jc w:val="both"/>
        <w:rPr>
          <w:rFonts w:ascii="Times New Roman" w:hAnsi="Times New Roman" w:cs="Times New Roman"/>
          <w:sz w:val="28"/>
          <w:szCs w:val="28"/>
        </w:rPr>
      </w:pPr>
      <w:r w:rsidRPr="00FB53D5">
        <w:rPr>
          <w:rFonts w:ascii="Times New Roman" w:hAnsi="Times New Roman" w:cs="Times New Roman"/>
          <w:b/>
          <w:sz w:val="28"/>
          <w:szCs w:val="28"/>
        </w:rPr>
        <w:t>3.4</w:t>
      </w:r>
      <w:r>
        <w:rPr>
          <w:rStyle w:val="FootnoteReference"/>
          <w:rFonts w:ascii="Times New Roman" w:hAnsi="Times New Roman" w:cs="Times New Roman"/>
          <w:b/>
          <w:sz w:val="28"/>
          <w:szCs w:val="28"/>
        </w:rPr>
        <w:footnoteReference w:id="7"/>
      </w:r>
      <w:r w:rsidRPr="00FB53D5">
        <w:rPr>
          <w:rFonts w:ascii="Times New Roman" w:hAnsi="Times New Roman" w:cs="Times New Roman"/>
          <w:b/>
          <w:sz w:val="28"/>
          <w:szCs w:val="28"/>
        </w:rPr>
        <w:t xml:space="preserve">   The UN Treaty-based Mechanisms</w:t>
      </w:r>
      <w:r w:rsidRPr="00FB53D5">
        <w:rPr>
          <w:rFonts w:ascii="Times New Roman" w:hAnsi="Times New Roman" w:cs="Times New Roman"/>
          <w:sz w:val="28"/>
          <w:szCs w:val="28"/>
        </w:rPr>
        <w:t xml:space="preserv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mechanisms conducted and actions taken by the UN treaty based bodies in the protection and promotion of human rights worldwide are called the treaty-based mechanisms. The UN </w:t>
      </w:r>
      <w:r>
        <w:rPr>
          <w:rStyle w:val="FootnoteReference"/>
          <w:rFonts w:ascii="Times New Roman" w:hAnsi="Times New Roman" w:cs="Times New Roman"/>
          <w:sz w:val="24"/>
          <w:szCs w:val="24"/>
        </w:rPr>
        <w:footnoteReference w:id="8"/>
      </w:r>
      <w:r w:rsidRPr="00FB53D5">
        <w:rPr>
          <w:rFonts w:ascii="Times New Roman" w:hAnsi="Times New Roman" w:cs="Times New Roman"/>
          <w:sz w:val="24"/>
          <w:szCs w:val="24"/>
        </w:rPr>
        <w:t xml:space="preserve">treaty system includes human rights treaties, protocols and monitoring bodies under these treaties (Subbian, 2000, p. 94). The treaty-bodies or the treaty monitoring bodies are committees of independent experts that monitor implementation of the substantive provisions of the core international human rights treaties (OHCHR, 2012, p. 12). In other words, the treaty-bodies are </w:t>
      </w:r>
      <w:r w:rsidRPr="00FB53D5">
        <w:rPr>
          <w:rFonts w:ascii="Times New Roman" w:hAnsi="Times New Roman" w:cs="Times New Roman"/>
          <w:sz w:val="24"/>
          <w:szCs w:val="24"/>
        </w:rPr>
        <w:lastRenderedPageBreak/>
        <w:t xml:space="preserve">committees of independent experts created under a particular UN treaty. They are mandated to monitor how States - which have ratified the treaty in question - comply with their obligations to implement the human rights guaranteed by the treaty, including the right to education. Most of the treaty-bodies are mandated to receive and consider reports. Each State party is obligated to submit regular reports to the relevant treaty body on how the rights are being implemented. The treaty body examines the report and publishes its concerns and recommendations, referred to as „concluding observations‟.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Since the adoption of UDHR 1948, numerous UN implementation mechanisms of Economic, Social and Cultural (ESC) rights have emerged. The most significant global mechanism for defending ESC rights is the Committee on ESC rights, whose mandate is to monitor specifically the obligations of state parties to fulfill under the ICESCR, 1966. The Committee is a treaty-body that mainly scrutinizes the extent to which ESC rights are achieved by the state parties, serves as a basis for formulating policies that promote ESC rights via General Comments, and allows the public to learn about the work of their government concerning the</w:t>
      </w:r>
      <w:r w:rsidRPr="00FB53D5">
        <w:rPr>
          <w:rFonts w:ascii="Times New Roman" w:hAnsi="Times New Roman" w:cs="Times New Roman"/>
          <w:color w:val="000000"/>
          <w:sz w:val="24"/>
          <w:szCs w:val="24"/>
        </w:rPr>
        <w:t xml:space="preserve"> achievement of ESC rights .</w:t>
      </w:r>
    </w:p>
    <w:p w:rsidR="00A82859" w:rsidRPr="00FB53D5" w:rsidRDefault="00A82859" w:rsidP="00A82859">
      <w:pPr>
        <w:spacing w:line="360" w:lineRule="auto"/>
        <w:jc w:val="both"/>
        <w:rPr>
          <w:rFonts w:ascii="Times New Roman" w:hAnsi="Times New Roman" w:cs="Times New Roman"/>
          <w:sz w:val="36"/>
          <w:szCs w:val="36"/>
        </w:rPr>
      </w:pPr>
      <w:r w:rsidRPr="00FB53D5">
        <w:rPr>
          <w:rFonts w:ascii="Times New Roman" w:hAnsi="Times New Roman" w:cs="Times New Roman"/>
          <w:sz w:val="36"/>
          <w:szCs w:val="36"/>
        </w:rPr>
        <w:t xml:space="preserve">                                            </w:t>
      </w:r>
    </w:p>
    <w:p w:rsidR="00A82859" w:rsidRPr="00FB53D5" w:rsidRDefault="00A82859" w:rsidP="00A82859">
      <w:pPr>
        <w:rPr>
          <w:rFonts w:ascii="Times New Roman" w:hAnsi="Times New Roman" w:cs="Times New Roman"/>
          <w:sz w:val="36"/>
          <w:szCs w:val="36"/>
        </w:rPr>
      </w:pPr>
    </w:p>
    <w:p w:rsidR="00A82859" w:rsidRDefault="00A82859" w:rsidP="00A82859">
      <w:pPr>
        <w:jc w:val="both"/>
        <w:rPr>
          <w:rFonts w:ascii="Times New Roman" w:hAnsi="Times New Roman" w:cs="Times New Roman"/>
          <w:sz w:val="36"/>
          <w:szCs w:val="36"/>
        </w:rPr>
      </w:pPr>
      <w:r w:rsidRPr="00FB53D5">
        <w:rPr>
          <w:rFonts w:ascii="Times New Roman" w:hAnsi="Times New Roman" w:cs="Times New Roman"/>
          <w:sz w:val="36"/>
          <w:szCs w:val="36"/>
        </w:rPr>
        <w:t xml:space="preserve">                                       </w:t>
      </w:r>
    </w:p>
    <w:p w:rsidR="00A82859" w:rsidRDefault="00A82859" w:rsidP="00A82859">
      <w:pPr>
        <w:rPr>
          <w:rFonts w:ascii="Times New Roman" w:hAnsi="Times New Roman" w:cs="Times New Roman"/>
          <w:sz w:val="36"/>
          <w:szCs w:val="36"/>
        </w:rPr>
      </w:pPr>
      <w:r>
        <w:rPr>
          <w:rFonts w:ascii="Times New Roman" w:hAnsi="Times New Roman" w:cs="Times New Roman"/>
          <w:sz w:val="36"/>
          <w:szCs w:val="36"/>
        </w:rPr>
        <w:br w:type="page"/>
      </w:r>
    </w:p>
    <w:p w:rsidR="00A82859" w:rsidRPr="00FB53D5" w:rsidRDefault="00A82859" w:rsidP="00C424D0">
      <w:pPr>
        <w:spacing w:line="240" w:lineRule="auto"/>
        <w:jc w:val="center"/>
        <w:rPr>
          <w:rFonts w:ascii="Times New Roman" w:hAnsi="Times New Roman" w:cs="Times New Roman"/>
          <w:sz w:val="36"/>
          <w:szCs w:val="36"/>
        </w:rPr>
      </w:pPr>
      <w:r w:rsidRPr="00FB53D5">
        <w:rPr>
          <w:rFonts w:ascii="Times New Roman" w:hAnsi="Times New Roman" w:cs="Times New Roman"/>
          <w:sz w:val="36"/>
          <w:szCs w:val="36"/>
        </w:rPr>
        <w:lastRenderedPageBreak/>
        <w:t>CHAPTER 4</w:t>
      </w:r>
    </w:p>
    <w:p w:rsidR="00A82859" w:rsidRPr="00FB53D5" w:rsidRDefault="00A82859" w:rsidP="00A82859">
      <w:pPr>
        <w:jc w:val="both"/>
        <w:rPr>
          <w:rFonts w:ascii="Times New Roman" w:hAnsi="Times New Roman" w:cs="Times New Roman"/>
          <w:b/>
          <w:sz w:val="28"/>
          <w:szCs w:val="28"/>
        </w:rPr>
      </w:pPr>
      <w:r w:rsidRPr="00FB53D5">
        <w:rPr>
          <w:rFonts w:ascii="Times New Roman" w:hAnsi="Times New Roman" w:cs="Times New Roman"/>
          <w:b/>
          <w:sz w:val="28"/>
          <w:szCs w:val="28"/>
        </w:rPr>
        <w:t xml:space="preserve">             Enforcement Mechanism of Human Rights</w:t>
      </w:r>
      <w:r w:rsidRPr="00FB53D5">
        <w:rPr>
          <w:rFonts w:ascii="Times New Roman" w:hAnsi="Times New Roman" w:cs="Times New Roman"/>
          <w:sz w:val="28"/>
          <w:szCs w:val="28"/>
        </w:rPr>
        <w:t xml:space="preserve"> in </w:t>
      </w:r>
      <w:r w:rsidRPr="00FB53D5">
        <w:rPr>
          <w:rFonts w:ascii="Times New Roman" w:hAnsi="Times New Roman" w:cs="Times New Roman"/>
          <w:b/>
          <w:sz w:val="28"/>
          <w:szCs w:val="28"/>
        </w:rPr>
        <w:t xml:space="preserve">Bangladesh </w:t>
      </w:r>
    </w:p>
    <w:p w:rsidR="00A82859" w:rsidRPr="00FB53D5"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b/>
          <w:sz w:val="28"/>
          <w:szCs w:val="28"/>
        </w:rPr>
        <w:t>4.1 Introduction</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The domestic enforcement of human rights court rulings is an especially demanding and obtrusive kind of state observance of international norms. It involves the efforts of national authorities to redress detected violations and to bring existing laws and practices in line with the underlying standards and principles. It is a multi-faceted and inherently political process that involves different national institutions and actors - executive, legislative, judicial, as well as societal - with divergent preferences and priorities, who may be in conflict over whether and how to enforcement human rights rulings. In this process, the violating states, including established democracies, display various forms and degrees of compliance with international norms and judicial rulings, raising significant questions about the factors accounting for such differences. Governments are principally responsible for implementing the human rights at the national level. People have always been struggling for the enforcement of their rights against the government since the emergence of state, though the state is the creation of the people themselves . The definition of human rights presupposes that they should be protected by appropriate and effective enforcement mechanisms at national level. The domestic human rights protection mechanism also relies upon the access to justice and effective remedies for human rights violations. </w:t>
      </w:r>
    </w:p>
    <w:p w:rsidR="00A82859" w:rsidRPr="00FB53D5"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b/>
          <w:sz w:val="28"/>
          <w:szCs w:val="28"/>
        </w:rPr>
        <w:t>The human right under the national sphere inter alia can be enforced in the following manners</w:t>
      </w:r>
      <w:r w:rsidRPr="00FB53D5">
        <w:rPr>
          <w:rFonts w:ascii="Times New Roman" w:hAnsi="Times New Roman" w:cs="Times New Roman"/>
          <w:sz w:val="28"/>
          <w:szCs w:val="28"/>
        </w:rPr>
        <w:t>.</w:t>
      </w:r>
    </w:p>
    <w:p w:rsidR="00A82859" w:rsidRPr="00FB53D5"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b/>
          <w:sz w:val="28"/>
          <w:szCs w:val="28"/>
        </w:rPr>
        <w:t>4.2</w:t>
      </w:r>
      <w:r>
        <w:rPr>
          <w:rStyle w:val="FootnoteReference"/>
          <w:rFonts w:ascii="Times New Roman" w:hAnsi="Times New Roman" w:cs="Times New Roman"/>
          <w:b/>
          <w:sz w:val="28"/>
          <w:szCs w:val="28"/>
        </w:rPr>
        <w:footnoteReference w:id="9"/>
      </w:r>
      <w:r w:rsidRPr="00FB53D5">
        <w:rPr>
          <w:rFonts w:ascii="Times New Roman" w:hAnsi="Times New Roman" w:cs="Times New Roman"/>
          <w:b/>
          <w:sz w:val="28"/>
          <w:szCs w:val="28"/>
        </w:rPr>
        <w:t xml:space="preserve">  Implementation of Human Rights under the Bangladesh</w:t>
      </w:r>
      <w:r w:rsidRPr="00FB53D5">
        <w:rPr>
          <w:rFonts w:ascii="Times New Roman" w:hAnsi="Times New Roman" w:cs="Times New Roman"/>
          <w:sz w:val="28"/>
          <w:szCs w:val="28"/>
        </w:rPr>
        <w:t xml:space="preserve"> </w:t>
      </w:r>
      <w:r w:rsidRPr="00FB53D5">
        <w:rPr>
          <w:rFonts w:ascii="Times New Roman" w:hAnsi="Times New Roman" w:cs="Times New Roman"/>
          <w:b/>
          <w:sz w:val="28"/>
          <w:szCs w:val="28"/>
        </w:rPr>
        <w:t>Constitution</w:t>
      </w:r>
    </w:p>
    <w:p w:rsidR="00A82859" w:rsidRPr="00FB53D5" w:rsidRDefault="00A82859" w:rsidP="00A82859">
      <w:pPr>
        <w:spacing w:line="360" w:lineRule="auto"/>
        <w:jc w:val="both"/>
        <w:rPr>
          <w:rFonts w:ascii="Times New Roman" w:hAnsi="Times New Roman" w:cs="Times New Roman"/>
          <w:b/>
          <w:sz w:val="24"/>
          <w:szCs w:val="24"/>
        </w:rPr>
      </w:pPr>
      <w:r w:rsidRPr="00FB53D5">
        <w:rPr>
          <w:rFonts w:ascii="Times New Roman" w:hAnsi="Times New Roman" w:cs="Times New Roman"/>
          <w:sz w:val="28"/>
          <w:szCs w:val="28"/>
        </w:rPr>
        <w:t xml:space="preserve"> </w:t>
      </w:r>
      <w:r w:rsidRPr="00FB53D5">
        <w:rPr>
          <w:rFonts w:ascii="Times New Roman" w:hAnsi="Times New Roman" w:cs="Times New Roman"/>
          <w:sz w:val="24"/>
          <w:szCs w:val="24"/>
        </w:rPr>
        <w:t xml:space="preserve">A mere declaration or insertion of some human rights as fundamental rights in the constitution of a country is of no value unless there is existence of any fruitful, easy and effective machinery in it. In the case of Saiyyid Abu A‟la </w:t>
      </w:r>
      <w:r>
        <w:rPr>
          <w:rFonts w:ascii="Times New Roman" w:hAnsi="Times New Roman" w:cs="Times New Roman"/>
          <w:sz w:val="24"/>
          <w:szCs w:val="24"/>
        </w:rPr>
        <w:t xml:space="preserve"> </w:t>
      </w:r>
      <w:r w:rsidRPr="00FB53D5">
        <w:rPr>
          <w:rFonts w:ascii="Times New Roman" w:hAnsi="Times New Roman" w:cs="Times New Roman"/>
          <w:sz w:val="24"/>
          <w:szCs w:val="24"/>
        </w:rPr>
        <w:t xml:space="preserve">Moudoodi and Others v. Federation of Pakistan (1964 PLD (SC) 673), Justice Habibur Rahman observed as follows: </w:t>
      </w:r>
    </w:p>
    <w:p w:rsidR="00A8285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lastRenderedPageBreak/>
        <w:t xml:space="preserve">  “The basic principles‟ underlying a declaration of fundamental rights in a constitution is that it must be capable of being enforced not only against the executive but also against the legislature by judicial process.” </w:t>
      </w:r>
    </w:p>
    <w:p w:rsidR="00A82859" w:rsidRPr="004474B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The Constitution of Bangladesh contains provisions regarding human rights in its three different parts including the preamble. The human rights contained in the part II are not judicially enforceable, whereas, the human rights enshrined in the part III are judicially enforceable. In Bangladesh, the national protection system can be inferred from its constitutional commitments from the fundamental rights incorporated in Part III of the Constitution, which are judicially enforceable by the High Court Division (HCD) under Article 102 of the Constitution. The significance of Part III of the Constitution is that it just not incorporates the basic human rights of civil and political nature; rather it also guarantees as a fundamental right,  a mechanism for establishment of the same through the judicial intervention. The duties of the state as to human rights recognized as fundamental rights are immediately enforceable by the individuals. The HCD has the power under article 102(1) of the constitution to pass necessary orders to enforce fundamental rights and under article 44(1) the right to move the HCD under article 102(1) is itself a fundamental right (Islam, 2002). Articles 44(1) and 102(1) provide that individuals who feel aggrieved can move to the HCD for enforcement of any of their fundamental rights guaranteed in the constitution. It is not discretionary with the HCD to grant relief under article 102(1); rather once it finds that a fundamental right has been violated, it is under constitutional obligation to grant the necessary relief.  </w:t>
      </w:r>
    </w:p>
    <w:p w:rsidR="00A8285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b/>
          <w:sz w:val="28"/>
          <w:szCs w:val="28"/>
        </w:rPr>
        <w:t>4.3</w:t>
      </w:r>
      <w:r>
        <w:rPr>
          <w:rStyle w:val="FootnoteReference"/>
          <w:rFonts w:ascii="Times New Roman" w:hAnsi="Times New Roman" w:cs="Times New Roman"/>
          <w:b/>
          <w:sz w:val="28"/>
          <w:szCs w:val="28"/>
        </w:rPr>
        <w:footnoteReference w:id="10"/>
      </w:r>
      <w:r w:rsidRPr="00FB53D5">
        <w:rPr>
          <w:rFonts w:ascii="Times New Roman" w:hAnsi="Times New Roman" w:cs="Times New Roman"/>
          <w:b/>
          <w:sz w:val="28"/>
          <w:szCs w:val="28"/>
        </w:rPr>
        <w:t xml:space="preserve">   Enforcement Through Public Interest Litigation (PIL)</w:t>
      </w:r>
      <w:r w:rsidRPr="00FB53D5">
        <w:rPr>
          <w:rFonts w:ascii="Times New Roman" w:hAnsi="Times New Roman" w:cs="Times New Roman"/>
          <w:sz w:val="24"/>
          <w:szCs w:val="24"/>
        </w:rPr>
        <w:t xml:space="preserve"> </w:t>
      </w:r>
    </w:p>
    <w:p w:rsidR="00A82859" w:rsidRPr="004474B9"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sz w:val="24"/>
          <w:szCs w:val="24"/>
        </w:rPr>
        <w:t>Public Interest Litigation which is intensely connected to the human rights and rule of law means litigation filled in a competent court of law for the protection of public interest and human rights. It has been construed by the judges to regard as the interest of public at large . PIL is one of the significant strategies of judicial activism, which is now treated as an integral part of the judicial process in South Asian region . It is a means of protecting the collective rights of under-</w:t>
      </w:r>
      <w:r w:rsidRPr="00FB53D5">
        <w:rPr>
          <w:rFonts w:ascii="Times New Roman" w:hAnsi="Times New Roman" w:cs="Times New Roman"/>
          <w:sz w:val="24"/>
          <w:szCs w:val="24"/>
        </w:rPr>
        <w:lastRenderedPageBreak/>
        <w:t xml:space="preserve">privileged group of people and is now well accepted avenue of judicial activism . In Bangladesh, PIL is an effective tool for protecting human rights under a simplified complaint system which has entered into the legal system for the first time in the case Kazi Mukhlesur Rahman v. Bangladesh (26 DLR (SC) 44). It is a good contribution of the Judiciary to protect human rights for the people even in a circumstance in which the victim has no means to go before the Court (43 DLR (AD) 126). PIL is a savior of various human rights, e.g., civil rights, political rights, environmental rights, children and women‟s rights that has developed a new jurisprudence of accountability of the state for constitutional and legal violations, adversely affecting the rights and interests of the weaker sections in the community . Foster and Jivan opine that different PIL decisions in different jurisdictions reveal how courts have given impetus to the protection and promotion of human rights, by expanding the meaning of fundamental right to life, liberty and equality .   </w:t>
      </w:r>
    </w:p>
    <w:p w:rsidR="00A82859" w:rsidRPr="00FB53D5" w:rsidRDefault="00A82859" w:rsidP="00A82859">
      <w:pPr>
        <w:spacing w:line="360" w:lineRule="auto"/>
        <w:jc w:val="both"/>
        <w:rPr>
          <w:rFonts w:ascii="Times New Roman" w:hAnsi="Times New Roman" w:cs="Times New Roman"/>
          <w:b/>
          <w:sz w:val="28"/>
          <w:szCs w:val="28"/>
        </w:rPr>
      </w:pPr>
      <w:r w:rsidRPr="00FB53D5">
        <w:rPr>
          <w:rFonts w:ascii="Times New Roman" w:hAnsi="Times New Roman" w:cs="Times New Roman"/>
          <w:b/>
          <w:sz w:val="28"/>
          <w:szCs w:val="28"/>
        </w:rPr>
        <w:t>4.4</w:t>
      </w:r>
      <w:r>
        <w:rPr>
          <w:rStyle w:val="FootnoteReference"/>
          <w:rFonts w:ascii="Times New Roman" w:hAnsi="Times New Roman" w:cs="Times New Roman"/>
          <w:b/>
          <w:sz w:val="28"/>
          <w:szCs w:val="28"/>
        </w:rPr>
        <w:footnoteReference w:id="11"/>
      </w:r>
      <w:r w:rsidRPr="00FB53D5">
        <w:rPr>
          <w:rFonts w:ascii="Times New Roman" w:hAnsi="Times New Roman" w:cs="Times New Roman"/>
          <w:b/>
          <w:sz w:val="28"/>
          <w:szCs w:val="28"/>
        </w:rPr>
        <w:t xml:space="preserve">   Enacting National Laws in Conformity with International Instruments </w:t>
      </w:r>
    </w:p>
    <w:p w:rsidR="00A82859" w:rsidRPr="004474B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8"/>
          <w:szCs w:val="28"/>
        </w:rPr>
        <w:t xml:space="preserve"> </w:t>
      </w:r>
      <w:r w:rsidRPr="00FB53D5">
        <w:rPr>
          <w:rFonts w:ascii="Times New Roman" w:hAnsi="Times New Roman" w:cs="Times New Roman"/>
          <w:sz w:val="24"/>
          <w:szCs w:val="24"/>
        </w:rPr>
        <w:t>The governme</w:t>
      </w:r>
      <w:r>
        <w:rPr>
          <w:rFonts w:ascii="Times New Roman" w:hAnsi="Times New Roman" w:cs="Times New Roman"/>
          <w:sz w:val="24"/>
          <w:szCs w:val="24"/>
        </w:rPr>
        <w:t>nts of different States can enforc</w:t>
      </w:r>
      <w:r w:rsidRPr="00FB53D5">
        <w:rPr>
          <w:rFonts w:ascii="Times New Roman" w:hAnsi="Times New Roman" w:cs="Times New Roman"/>
          <w:sz w:val="24"/>
          <w:szCs w:val="24"/>
        </w:rPr>
        <w:t xml:space="preserve">ement the human rights of their individuals through enacting domestic legislations in conformity with different international and regional human rights instruments. The national protection of human rights entails the state to enact any law according to the principles enunciated in the UN Charter, UDHR and other global human rights instruments depending upon the attitude, culture and practice of people in government and socio-economic infrastructure of a particular state . Though Bangladesh did not acquire its membership of the UN until 1974, the International Bill of Human Rights (comprising the UN Charter, UDHR, ICCPR and ICESCR along with two Optional Protocols to the ICCPR) profoundly influenced the drafting of the Constitution of Bangladesh. The national courts can take into account the provisions of the Bill as an aid to the legal interpretation of fundamental rights as enumerated in our Constitution. The constitution of Bangladesh has specifically acknowledged the principle of respect for international law as a fundamental principle of state policy that is enunciated in article 25 which provides that the state shall base its international relations on the principles of respect for international law and the principles enunciated in the </w:t>
      </w:r>
      <w:r w:rsidRPr="00FB53D5">
        <w:rPr>
          <w:rFonts w:ascii="Times New Roman" w:hAnsi="Times New Roman" w:cs="Times New Roman"/>
          <w:sz w:val="24"/>
          <w:szCs w:val="24"/>
        </w:rPr>
        <w:lastRenderedPageBreak/>
        <w:t xml:space="preserve">UN Charter, 1945 (Article, 25). The insertion of this principle in the national constitution is an indirect compromise regarding the state sovereignty. Not only that, on the basis of this constitutional mandate, the courts of Bangladesh had tested the validity of certain governmental actions concerning international relations in the light of the UN Charter, 1945 .    </w:t>
      </w:r>
    </w:p>
    <w:p w:rsidR="00A82859" w:rsidRPr="00FB53D5"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sz w:val="28"/>
          <w:szCs w:val="28"/>
        </w:rPr>
        <w:t xml:space="preserve"> </w:t>
      </w:r>
      <w:r w:rsidRPr="00FB53D5">
        <w:rPr>
          <w:rFonts w:ascii="Times New Roman" w:hAnsi="Times New Roman" w:cs="Times New Roman"/>
          <w:b/>
          <w:sz w:val="28"/>
          <w:szCs w:val="28"/>
        </w:rPr>
        <w:t>4.5</w:t>
      </w:r>
      <w:r>
        <w:rPr>
          <w:rStyle w:val="FootnoteReference"/>
          <w:rFonts w:ascii="Times New Roman" w:hAnsi="Times New Roman" w:cs="Times New Roman"/>
          <w:b/>
          <w:sz w:val="28"/>
          <w:szCs w:val="28"/>
        </w:rPr>
        <w:footnoteReference w:id="12"/>
      </w:r>
      <w:r w:rsidRPr="00FB53D5">
        <w:rPr>
          <w:rFonts w:ascii="Times New Roman" w:hAnsi="Times New Roman" w:cs="Times New Roman"/>
          <w:b/>
          <w:sz w:val="28"/>
          <w:szCs w:val="28"/>
        </w:rPr>
        <w:t xml:space="preserve">   Ratification/Accession to International Human Rights Instruments</w:t>
      </w:r>
      <w:r w:rsidRPr="00FB53D5">
        <w:rPr>
          <w:rFonts w:ascii="Times New Roman" w:hAnsi="Times New Roman" w:cs="Times New Roman"/>
          <w:sz w:val="28"/>
          <w:szCs w:val="28"/>
        </w:rPr>
        <w:t xml:space="preserv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The government</w:t>
      </w:r>
      <w:r>
        <w:rPr>
          <w:rFonts w:ascii="Times New Roman" w:hAnsi="Times New Roman" w:cs="Times New Roman"/>
          <w:sz w:val="24"/>
          <w:szCs w:val="24"/>
        </w:rPr>
        <w:t xml:space="preserve"> of a particular state may enforce</w:t>
      </w:r>
      <w:r w:rsidRPr="00FB53D5">
        <w:rPr>
          <w:rFonts w:ascii="Times New Roman" w:hAnsi="Times New Roman" w:cs="Times New Roman"/>
          <w:sz w:val="24"/>
          <w:szCs w:val="24"/>
        </w:rPr>
        <w:t xml:space="preserve">ment the human rights domestically through the ratification or accession to different regional or global human rights instruments as well as taking the obligations under these instruments as its domestic legal obligation.  Bangladesh has adhere some international humanitarian treaties including Geneva Conventions I, II, III, IV 1949 (adhere in 04.04.1972), Additional Protocol I 1977 (adhere in 08.09.1980), Hague Convention 1954 (adhere in 23.06.06), Hague Protocol 1954 (adhere in 23.06.06), ENMOD Convention 1976 (adhere in 03.10.79). Moreover, Bangladesh signed some international human rights law.   </w:t>
      </w:r>
      <w:r w:rsidRPr="00FB53D5">
        <w:rPr>
          <w:rFonts w:ascii="Times New Roman" w:hAnsi="Times New Roman" w:cs="Times New Roman"/>
          <w:sz w:val="24"/>
          <w:szCs w:val="24"/>
        </w:rPr>
        <w:tab/>
        <w:t xml:space="preserve">So far, as the provision of legal assistance in paragraph 3(d) of Article 14 of ICCPR 1966 is concerned, a person charged with criminal offences is statutorily entitled to legal assistance if he does not have the means to procure such assistance. The Government of the People‟s Republic of Bangladesh, notwithstanding its acceptance of the principle of compensation for miscarriage of justice, as stipulated in Article 14, paragraph 6, is not in a position to guarantee a comprehensive implementation of this provision for the time being. However, the aggrieved has the right to realise compensation for miscarriage of justice by separate proceedings and in some cases, the court   suo moto   grants compensation to victims of miscarriage of justice. Bangladesh, however, intends to ensure full implementation of this provision in the near future. </w:t>
      </w:r>
    </w:p>
    <w:p w:rsidR="00A8285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In accordance with Article 3 (2) of [the Optional Protocol], CRC 1990, the Government of the People‟s Republic of Bangladesh declares that the minimum age at which it permits voluntary recruitment into its national Armed Forces is sixteen years for noncommissioned soldiers and seventeen years for commissioned officers, with informed consent of parents or legal guardian, without any exception. The Government of the People‟s Republic of Bangladesh further </w:t>
      </w:r>
      <w:r w:rsidRPr="00FB53D5">
        <w:rPr>
          <w:rFonts w:ascii="Times New Roman" w:hAnsi="Times New Roman" w:cs="Times New Roman"/>
          <w:sz w:val="24"/>
          <w:szCs w:val="24"/>
        </w:rPr>
        <w:lastRenderedPageBreak/>
        <w:t>provides hereunder a description of the safeguards it has adopted to ensure that such recruitment is not forced or coerced. The process of recruitment in the national Armed Forces is initiated through advertisement in the national press and the media for officers and other ranks without exception. The first induction of new recruits is conducted invariably in a public place such as a national park, school ground or a similar place. Public participation is welcomed in such.   In Bangladesh, judicial invocation of human rights norms is also increasingly obtaining ground as an instrument of filling the gaps in domestic law on human rights norms as well as an interpretative tool of domestic laws or fundamental rights under the constitution. Bangladesh has been a member of the UN since 1974, and has already ratified all the core international human rights instruments . It has also ratified the Optional Protocols to the Convention on the Rights of the Childs 1989, Convention on the Rights of Persons with Disabilities and the ILO Conventions. Articles 145 and 145A of our constitution deal with the provisions about the making of contracts and deeds and the formalities regarding international treaties though they are totally silent regarding the application of such treaties in domestic law. Under article 145(1), the power to make any contract or deed on behalf of the state is vested in the executive authority of the state, and any such contract or deed shall be expressed to be made by the President and shall be executed on behalf of the President by such person and in such manner as he may direct or authorizes</w:t>
      </w:r>
      <w:r w:rsidRPr="00FB53D5">
        <w:rPr>
          <w:rFonts w:ascii="Times New Roman" w:hAnsi="Times New Roman" w:cs="Times New Roman"/>
          <w:sz w:val="28"/>
          <w:szCs w:val="28"/>
        </w:rPr>
        <w:t xml:space="preserve">. </w:t>
      </w:r>
    </w:p>
    <w:p w:rsidR="00A82859" w:rsidRPr="004474B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b/>
          <w:sz w:val="28"/>
          <w:szCs w:val="28"/>
        </w:rPr>
        <w:t>4.6</w:t>
      </w:r>
      <w:r>
        <w:rPr>
          <w:rStyle w:val="FootnoteReference"/>
          <w:rFonts w:ascii="Times New Roman" w:hAnsi="Times New Roman" w:cs="Times New Roman"/>
          <w:b/>
          <w:sz w:val="28"/>
          <w:szCs w:val="28"/>
        </w:rPr>
        <w:footnoteReference w:id="13"/>
      </w:r>
      <w:r w:rsidRPr="00FB53D5">
        <w:rPr>
          <w:rFonts w:ascii="Times New Roman" w:hAnsi="Times New Roman" w:cs="Times New Roman"/>
          <w:b/>
          <w:sz w:val="28"/>
          <w:szCs w:val="28"/>
        </w:rPr>
        <w:t xml:space="preserve"> Application of International Human Rights Law in Domestic Courts</w:t>
      </w:r>
    </w:p>
    <w:p w:rsidR="00A82859" w:rsidRPr="004474B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A state can also enforcement the human rights within its territory by applying the international human rights law in its domestic courts though state practice in domestic application of this law varies greatly. Under the international law there are two distinct theories regarding the status or application of international law in domestic arena: monism and dualism. „Monism‟ reveals the notion that global law need not be included into the domestic legal system. When a monist state becomes the party of a particular treaty, it automatically becomes a part of the domestic laws. According to the monist theory, international and national law are concomitant aspects of the one general system-law in general . In case of conflict between these two, „international law is said </w:t>
      </w:r>
      <w:r w:rsidRPr="00FB53D5">
        <w:rPr>
          <w:rFonts w:ascii="Times New Roman" w:hAnsi="Times New Roman" w:cs="Times New Roman"/>
          <w:sz w:val="24"/>
          <w:szCs w:val="24"/>
        </w:rPr>
        <w:lastRenderedPageBreak/>
        <w:t>to prevail‟ . On the other hand, dualism indicated that international and national legal rule is separate entities, strict distinction is maintained between these two laws with regard to their enforcement.   Bangladesh maintains the dualistic view following the UK, meaning that the provisions of global instruments are not directly enforceable in domestic courts unless ratified and incorporated into the domestic law by recognized means . The general practice of Bangladesh is that international treaties do not automatically become part of the domestic law of this country unless it is incorporated into the domestic legislations. Consequently, the international treaties are required to be inserted into the domestic legislation passed by the due procedure and then it will be part of domestic law . The approach of the Court was reflected in the case of BNWLA vs. Government of Bangladesh and Others (14 BLC (2009) 703) where the Court vehemently declared:</w:t>
      </w:r>
      <w:r>
        <w:rPr>
          <w:rFonts w:ascii="Times New Roman" w:hAnsi="Times New Roman" w:cs="Times New Roman"/>
          <w:sz w:val="24"/>
          <w:szCs w:val="24"/>
        </w:rPr>
        <w:t xml:space="preserve"> </w:t>
      </w:r>
      <w:r w:rsidRPr="00FB53D5">
        <w:rPr>
          <w:rFonts w:ascii="Times New Roman" w:hAnsi="Times New Roman" w:cs="Times New Roman"/>
          <w:sz w:val="24"/>
          <w:szCs w:val="24"/>
        </w:rPr>
        <w:t>“Our courts will not enforce those covenants as treaties and conventions even if ratified by the State, as they are not part of the corpus juries of the State unless those are incorporated in the municipal legislation”.  The Apex Court of Bangladesh has affirmed a liberal principle that if the domestic laws are not plain enough or there is nothing therein, the domestic courts should take into account the principles of relevant international instruments. The situation of Bangladesh concerning domestic application of international law is characterized by lack of case laws, vagueness of constitutional and statutory provisions, and unwillingness of our judges and lawyers to refer the global instruments. Most of the global instruments ratified by Bangladesh have not yet been included into the domestic law to be enforced directly in domestic courts and thus, the status of international law in Bangladesh remains in many ways unclear</w:t>
      </w:r>
      <w:r w:rsidRPr="00FB53D5">
        <w:rPr>
          <w:rFonts w:ascii="Times New Roman" w:hAnsi="Times New Roman" w:cs="Times New Roman"/>
          <w:sz w:val="28"/>
          <w:szCs w:val="28"/>
        </w:rPr>
        <w:t xml:space="preserve">. </w:t>
      </w:r>
    </w:p>
    <w:p w:rsidR="00C44A4E" w:rsidRDefault="00A82859" w:rsidP="00C44A4E">
      <w:pPr>
        <w:spacing w:line="240" w:lineRule="auto"/>
        <w:jc w:val="both"/>
        <w:rPr>
          <w:rFonts w:ascii="Times New Roman" w:hAnsi="Times New Roman" w:cs="Times New Roman"/>
          <w:sz w:val="28"/>
          <w:szCs w:val="28"/>
        </w:rPr>
      </w:pPr>
      <w:r w:rsidRPr="00FB53D5">
        <w:rPr>
          <w:rFonts w:ascii="Times New Roman" w:hAnsi="Times New Roman" w:cs="Times New Roman"/>
          <w:b/>
          <w:sz w:val="28"/>
          <w:szCs w:val="28"/>
        </w:rPr>
        <w:t xml:space="preserve"> 4.7</w:t>
      </w:r>
      <w:r>
        <w:rPr>
          <w:rStyle w:val="FootnoteReference"/>
          <w:rFonts w:ascii="Times New Roman" w:hAnsi="Times New Roman" w:cs="Times New Roman"/>
          <w:b/>
          <w:sz w:val="28"/>
          <w:szCs w:val="28"/>
        </w:rPr>
        <w:footnoteReference w:id="14"/>
      </w:r>
      <w:r w:rsidRPr="00FB53D5">
        <w:rPr>
          <w:rFonts w:ascii="Times New Roman" w:hAnsi="Times New Roman" w:cs="Times New Roman"/>
          <w:b/>
          <w:sz w:val="28"/>
          <w:szCs w:val="28"/>
        </w:rPr>
        <w:t xml:space="preserve"> Enforcement through Legislative and Policy Framework</w:t>
      </w:r>
      <w:r w:rsidRPr="00FB53D5">
        <w:rPr>
          <w:rFonts w:ascii="Times New Roman" w:hAnsi="Times New Roman" w:cs="Times New Roman"/>
          <w:sz w:val="28"/>
          <w:szCs w:val="28"/>
        </w:rPr>
        <w:t xml:space="preserve"> </w:t>
      </w:r>
    </w:p>
    <w:p w:rsidR="00A82859" w:rsidRPr="004474B9" w:rsidRDefault="00A82859" w:rsidP="00A82859">
      <w:pPr>
        <w:spacing w:line="360" w:lineRule="auto"/>
        <w:jc w:val="both"/>
        <w:rPr>
          <w:rFonts w:ascii="Times New Roman" w:hAnsi="Times New Roman" w:cs="Times New Roman"/>
          <w:b/>
          <w:sz w:val="28"/>
          <w:szCs w:val="28"/>
        </w:rPr>
      </w:pPr>
      <w:r w:rsidRPr="00FB53D5">
        <w:rPr>
          <w:rFonts w:ascii="Times New Roman" w:hAnsi="Times New Roman" w:cs="Times New Roman"/>
          <w:sz w:val="24"/>
          <w:szCs w:val="24"/>
        </w:rPr>
        <w:t xml:space="preserve">The obligation of Bangladesh to protect and promote human rights in compliance with international obligations is evident from the enactment or amendment of numerous domestic legislations as to right to information, prevention of oppression and suppression against children and women, labor rights, legal aid, establishment of National Human Rights Commission, Anti Corruption Commission and other welfare legislation for protecting the interest of the citizens of </w:t>
      </w:r>
      <w:r w:rsidRPr="00FB53D5">
        <w:rPr>
          <w:rFonts w:ascii="Times New Roman" w:hAnsi="Times New Roman" w:cs="Times New Roman"/>
          <w:sz w:val="24"/>
          <w:szCs w:val="24"/>
        </w:rPr>
        <w:lastRenderedPageBreak/>
        <w:t xml:space="preserve">different catastrophe. Mere enactment of laws is not enough; rather their enforcement and implementation by the government organs is also important for achieving this goal. </w:t>
      </w:r>
    </w:p>
    <w:p w:rsidR="00A82859"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sz w:val="28"/>
          <w:szCs w:val="28"/>
        </w:rPr>
        <w:t xml:space="preserve">  </w:t>
      </w:r>
    </w:p>
    <w:p w:rsidR="00A82859" w:rsidRPr="00FB53D5" w:rsidRDefault="00A82859" w:rsidP="00C44A4E">
      <w:pPr>
        <w:spacing w:line="240" w:lineRule="auto"/>
        <w:jc w:val="both"/>
        <w:rPr>
          <w:rFonts w:ascii="Times New Roman" w:hAnsi="Times New Roman" w:cs="Times New Roman"/>
          <w:sz w:val="24"/>
          <w:szCs w:val="24"/>
        </w:rPr>
      </w:pPr>
      <w:r w:rsidRPr="00FB53D5">
        <w:rPr>
          <w:rFonts w:ascii="Times New Roman" w:hAnsi="Times New Roman" w:cs="Times New Roman"/>
          <w:b/>
          <w:sz w:val="28"/>
          <w:szCs w:val="28"/>
        </w:rPr>
        <w:t>4.8</w:t>
      </w:r>
      <w:r>
        <w:rPr>
          <w:rStyle w:val="FootnoteReference"/>
          <w:rFonts w:ascii="Times New Roman" w:hAnsi="Times New Roman" w:cs="Times New Roman"/>
          <w:b/>
          <w:sz w:val="28"/>
          <w:szCs w:val="28"/>
        </w:rPr>
        <w:footnoteReference w:id="15"/>
      </w:r>
      <w:r w:rsidRPr="00FB53D5">
        <w:rPr>
          <w:rFonts w:ascii="Times New Roman" w:hAnsi="Times New Roman" w:cs="Times New Roman"/>
          <w:b/>
          <w:sz w:val="28"/>
          <w:szCs w:val="28"/>
        </w:rPr>
        <w:t xml:space="preserve"> Enforcement under the Institutional Framework</w:t>
      </w:r>
    </w:p>
    <w:p w:rsidR="00A82859" w:rsidRPr="00FB53D5" w:rsidRDefault="00A82859" w:rsidP="00C44A4E">
      <w:pPr>
        <w:spacing w:line="240" w:lineRule="auto"/>
        <w:jc w:val="both"/>
        <w:rPr>
          <w:rFonts w:ascii="Times New Roman" w:hAnsi="Times New Roman" w:cs="Times New Roman"/>
          <w:sz w:val="28"/>
          <w:szCs w:val="28"/>
        </w:rPr>
      </w:pPr>
      <w:r w:rsidRPr="00FB53D5">
        <w:rPr>
          <w:rFonts w:ascii="Times New Roman" w:hAnsi="Times New Roman" w:cs="Times New Roman"/>
          <w:sz w:val="28"/>
          <w:szCs w:val="28"/>
        </w:rPr>
        <w:t xml:space="preserve"> </w:t>
      </w:r>
      <w:r w:rsidRPr="00FB53D5">
        <w:rPr>
          <w:rFonts w:ascii="Times New Roman" w:hAnsi="Times New Roman" w:cs="Times New Roman"/>
          <w:b/>
          <w:sz w:val="28"/>
          <w:szCs w:val="28"/>
        </w:rPr>
        <w:t>i. The National Human Rights Commission (NHRC)</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8"/>
          <w:szCs w:val="28"/>
        </w:rPr>
        <w:t xml:space="preserve"> </w:t>
      </w:r>
      <w:r w:rsidRPr="00FB53D5">
        <w:rPr>
          <w:rFonts w:ascii="Times New Roman" w:hAnsi="Times New Roman" w:cs="Times New Roman"/>
          <w:sz w:val="24"/>
          <w:szCs w:val="24"/>
        </w:rPr>
        <w:t xml:space="preserve">The NHRC consistent with the Paris Principles Relating to the Status of National Human Rights Institutions, 1993 for the protection and promotion of human rights in Bangladesh has been serving as an effective mechanism to address gross and systematic human rights violations . The NHRC of Bangladesh was established under the National Human Rights Commission Act, 2009 which works like a national human rights watchdog and consists of three members, one chairman and other two members (NHRC Act 2009, Section 4(1)).   </w:t>
      </w:r>
    </w:p>
    <w:p w:rsidR="00A82859" w:rsidRDefault="00A82859" w:rsidP="00A82859">
      <w:pPr>
        <w:spacing w:line="360" w:lineRule="auto"/>
        <w:jc w:val="both"/>
        <w:rPr>
          <w:rFonts w:ascii="Times New Roman" w:hAnsi="Times New Roman" w:cs="Times New Roman"/>
          <w:sz w:val="28"/>
          <w:szCs w:val="28"/>
        </w:rPr>
      </w:pPr>
    </w:p>
    <w:p w:rsidR="00A82859" w:rsidRPr="00FB53D5" w:rsidRDefault="00A82859" w:rsidP="00C44A4E">
      <w:pPr>
        <w:spacing w:line="240" w:lineRule="auto"/>
        <w:jc w:val="both"/>
        <w:rPr>
          <w:rFonts w:ascii="Times New Roman" w:hAnsi="Times New Roman" w:cs="Times New Roman"/>
          <w:sz w:val="28"/>
          <w:szCs w:val="28"/>
        </w:rPr>
      </w:pPr>
      <w:r w:rsidRPr="00FB53D5">
        <w:rPr>
          <w:rFonts w:ascii="Times New Roman" w:hAnsi="Times New Roman" w:cs="Times New Roman"/>
          <w:sz w:val="28"/>
          <w:szCs w:val="28"/>
        </w:rPr>
        <w:t xml:space="preserve"> </w:t>
      </w:r>
      <w:r w:rsidRPr="00FB53D5">
        <w:rPr>
          <w:rFonts w:ascii="Times New Roman" w:hAnsi="Times New Roman" w:cs="Times New Roman"/>
          <w:b/>
          <w:sz w:val="28"/>
          <w:szCs w:val="28"/>
        </w:rPr>
        <w:t>ii. The Anti-Corruption Commission (ACC)</w:t>
      </w:r>
      <w:r w:rsidRPr="00FB53D5">
        <w:rPr>
          <w:rFonts w:ascii="Times New Roman" w:hAnsi="Times New Roman" w:cs="Times New Roman"/>
          <w:sz w:val="28"/>
          <w:szCs w:val="28"/>
        </w:rPr>
        <w:t xml:space="preserv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It is another important body of the government which was created with an aim to remove the corruption in museum and ensure the rights of people. The ACC was established in 2004 to form an independent agency for combating corruption with legal authority to conduct inquiries and investigations, file and conduct cases, review legal measures for preventing corruption, demand statement of assets and liabilities, and seize property in excess of known sources of income. But in practice the ACC is full of defects mainly on the ground that the officials of the Commission are from different agencies of the Government who are apparently known as corrupt.  </w:t>
      </w:r>
    </w:p>
    <w:p w:rsidR="00A82859" w:rsidRDefault="00A82859" w:rsidP="00A82859">
      <w:pPr>
        <w:spacing w:line="360" w:lineRule="auto"/>
        <w:jc w:val="both"/>
        <w:rPr>
          <w:rFonts w:ascii="Times New Roman" w:hAnsi="Times New Roman" w:cs="Times New Roman"/>
          <w:sz w:val="28"/>
          <w:szCs w:val="28"/>
        </w:rPr>
      </w:pPr>
    </w:p>
    <w:p w:rsidR="00C44A4E" w:rsidRDefault="00C44A4E" w:rsidP="00A82859">
      <w:pPr>
        <w:spacing w:line="360" w:lineRule="auto"/>
        <w:jc w:val="both"/>
        <w:rPr>
          <w:rFonts w:ascii="Times New Roman" w:hAnsi="Times New Roman" w:cs="Times New Roman"/>
          <w:sz w:val="28"/>
          <w:szCs w:val="28"/>
        </w:rPr>
      </w:pPr>
    </w:p>
    <w:p w:rsidR="00A82859" w:rsidRDefault="00A82859" w:rsidP="00A82859">
      <w:pPr>
        <w:spacing w:line="360" w:lineRule="auto"/>
        <w:jc w:val="both"/>
        <w:rPr>
          <w:rFonts w:ascii="Times New Roman" w:hAnsi="Times New Roman" w:cs="Times New Roman"/>
          <w:b/>
          <w:sz w:val="28"/>
          <w:szCs w:val="28"/>
        </w:rPr>
      </w:pPr>
      <w:r>
        <w:rPr>
          <w:rStyle w:val="FootnoteReference"/>
          <w:rFonts w:ascii="Times New Roman" w:hAnsi="Times New Roman" w:cs="Times New Roman"/>
          <w:sz w:val="28"/>
          <w:szCs w:val="28"/>
        </w:rPr>
        <w:lastRenderedPageBreak/>
        <w:footnoteReference w:id="16"/>
      </w:r>
      <w:r w:rsidRPr="00FB53D5">
        <w:rPr>
          <w:rFonts w:ascii="Times New Roman" w:hAnsi="Times New Roman" w:cs="Times New Roman"/>
          <w:sz w:val="28"/>
          <w:szCs w:val="28"/>
        </w:rPr>
        <w:t xml:space="preserve"> </w:t>
      </w:r>
      <w:r w:rsidRPr="00FB53D5">
        <w:rPr>
          <w:rFonts w:ascii="Times New Roman" w:hAnsi="Times New Roman" w:cs="Times New Roman"/>
          <w:b/>
          <w:sz w:val="28"/>
          <w:szCs w:val="28"/>
        </w:rPr>
        <w:t>iii. The Information Commission</w:t>
      </w:r>
    </w:p>
    <w:p w:rsidR="00A82859" w:rsidRPr="003550AE" w:rsidRDefault="00A82859" w:rsidP="00A82859">
      <w:pPr>
        <w:spacing w:line="360" w:lineRule="auto"/>
        <w:jc w:val="both"/>
        <w:rPr>
          <w:rFonts w:ascii="Times New Roman" w:hAnsi="Times New Roman" w:cs="Times New Roman"/>
          <w:sz w:val="28"/>
          <w:szCs w:val="28"/>
        </w:rPr>
      </w:pPr>
      <w:r w:rsidRPr="00FB53D5">
        <w:rPr>
          <w:rFonts w:ascii="Times New Roman" w:hAnsi="Times New Roman" w:cs="Times New Roman"/>
          <w:sz w:val="28"/>
          <w:szCs w:val="28"/>
        </w:rPr>
        <w:t xml:space="preserve"> </w:t>
      </w:r>
      <w:r w:rsidRPr="00FB53D5">
        <w:rPr>
          <w:rFonts w:ascii="Times New Roman" w:hAnsi="Times New Roman" w:cs="Times New Roman"/>
          <w:sz w:val="24"/>
          <w:szCs w:val="24"/>
        </w:rPr>
        <w:t xml:space="preserve">The Information Commission is the institutional mechanism created by the law and is headed by the Chief Informational Commissioner with the other two Commissioners. The Commission is responsible for overseeing the compliance with the Right to Information Act, 2009 educating people about their rights and resolving disputes regarding information disclosure. The Commission is entrusted to issue directives to authorities for preservation, publicity and management of information, .  The enforcement mechanism of human rights in the national sphere appears pretty though in practice they undergo different critical lacking for which despite having the initiative it fails to accomplish the hopes and aspirations of the people. Nevertheless, in the states who have parliamentary democracy, the rulers once elected to power do not comply with the norms and commitments on human rights incorporated in the Constitutions . The domestic legal systems have remained so far largely unutilized to enforce human rights law in their respective state territories. Though the human rights obligations of a state extend to all branches and levels of government, implementation itself relies upon certain institutions. Obviously, enforcement mechanisms are not the same as political will, which remains the most vital factor for enforceing human rights . </w:t>
      </w:r>
    </w:p>
    <w:p w:rsidR="00A82859" w:rsidRPr="00FB53D5" w:rsidRDefault="00A82859" w:rsidP="00A82859">
      <w:pPr>
        <w:rPr>
          <w:rFonts w:ascii="Times New Roman" w:hAnsi="Times New Roman" w:cs="Times New Roman"/>
          <w:sz w:val="36"/>
          <w:szCs w:val="36"/>
        </w:rPr>
      </w:pPr>
    </w:p>
    <w:p w:rsidR="00A82859" w:rsidRPr="00FB53D5" w:rsidRDefault="00A82859" w:rsidP="00A82859">
      <w:pPr>
        <w:rPr>
          <w:rFonts w:ascii="Times New Roman" w:hAnsi="Times New Roman" w:cs="Times New Roman"/>
          <w:sz w:val="28"/>
          <w:szCs w:val="28"/>
        </w:rPr>
      </w:pPr>
    </w:p>
    <w:p w:rsidR="00A82859" w:rsidRPr="00FB53D5" w:rsidRDefault="00A82859" w:rsidP="00A82859">
      <w:pPr>
        <w:rPr>
          <w:rFonts w:ascii="Times New Roman" w:hAnsi="Times New Roman" w:cs="Times New Roman"/>
          <w:sz w:val="28"/>
          <w:szCs w:val="28"/>
        </w:rPr>
      </w:pPr>
    </w:p>
    <w:p w:rsidR="00A82859" w:rsidRPr="00FB53D5" w:rsidRDefault="00A82859" w:rsidP="00A82859">
      <w:pPr>
        <w:rPr>
          <w:rFonts w:ascii="Times New Roman" w:hAnsi="Times New Roman" w:cs="Times New Roman"/>
          <w:sz w:val="28"/>
          <w:szCs w:val="28"/>
        </w:rPr>
      </w:pPr>
    </w:p>
    <w:p w:rsidR="00A82859" w:rsidRPr="00FB53D5" w:rsidRDefault="00A82859" w:rsidP="00A82859">
      <w:pPr>
        <w:rPr>
          <w:rFonts w:ascii="Times New Roman" w:hAnsi="Times New Roman" w:cs="Times New Roman"/>
          <w:sz w:val="28"/>
          <w:szCs w:val="28"/>
        </w:rPr>
      </w:pPr>
    </w:p>
    <w:p w:rsidR="00A82859" w:rsidRDefault="00A82859" w:rsidP="00A82859">
      <w:pPr>
        <w:spacing w:line="360" w:lineRule="auto"/>
        <w:jc w:val="center"/>
        <w:rPr>
          <w:rFonts w:ascii="Times New Roman" w:hAnsi="Times New Roman" w:cs="Times New Roman"/>
          <w:sz w:val="28"/>
          <w:szCs w:val="28"/>
        </w:rPr>
      </w:pPr>
    </w:p>
    <w:p w:rsidR="007526A8" w:rsidRPr="002477EA" w:rsidRDefault="007526A8" w:rsidP="002477EA">
      <w:pPr>
        <w:shd w:val="clear" w:color="auto" w:fill="FFFFFF"/>
        <w:spacing w:line="240" w:lineRule="auto"/>
        <w:ind w:right="150"/>
        <w:jc w:val="center"/>
        <w:rPr>
          <w:rFonts w:ascii="Times New Roman" w:hAnsi="Times New Roman"/>
          <w:b/>
          <w:bCs/>
          <w:sz w:val="24"/>
          <w:szCs w:val="24"/>
        </w:rPr>
      </w:pPr>
      <w:r w:rsidRPr="002477EA">
        <w:rPr>
          <w:rFonts w:ascii="Times New Roman" w:hAnsi="Times New Roman"/>
          <w:b/>
          <w:bCs/>
          <w:sz w:val="24"/>
          <w:szCs w:val="24"/>
        </w:rPr>
        <w:lastRenderedPageBreak/>
        <w:t>Chapter Five</w:t>
      </w:r>
    </w:p>
    <w:p w:rsidR="007526A8" w:rsidRPr="002477EA" w:rsidRDefault="007526A8" w:rsidP="007526A8">
      <w:pPr>
        <w:autoSpaceDE w:val="0"/>
        <w:autoSpaceDN w:val="0"/>
        <w:adjustRightInd w:val="0"/>
        <w:spacing w:line="360" w:lineRule="auto"/>
        <w:jc w:val="center"/>
        <w:rPr>
          <w:rFonts w:ascii="Times New Roman" w:hAnsi="Times New Roman"/>
          <w:b/>
          <w:sz w:val="24"/>
          <w:szCs w:val="24"/>
        </w:rPr>
      </w:pPr>
      <w:r w:rsidRPr="002477EA">
        <w:rPr>
          <w:rFonts w:ascii="Times New Roman" w:hAnsi="Times New Roman"/>
          <w:b/>
          <w:sz w:val="24"/>
          <w:szCs w:val="24"/>
        </w:rPr>
        <w:t>Developing Countries Human Rights Follow</w:t>
      </w:r>
    </w:p>
    <w:p w:rsidR="007526A8" w:rsidRPr="002477EA" w:rsidRDefault="007526A8" w:rsidP="007526A8">
      <w:pPr>
        <w:rPr>
          <w:rFonts w:ascii="Times New Roman" w:hAnsi="Times New Roman"/>
          <w:b/>
          <w:sz w:val="24"/>
          <w:szCs w:val="24"/>
        </w:rPr>
      </w:pPr>
      <w:r w:rsidRPr="002477EA">
        <w:rPr>
          <w:rFonts w:ascii="Times New Roman" w:hAnsi="Times New Roman"/>
          <w:b/>
          <w:sz w:val="24"/>
          <w:szCs w:val="24"/>
        </w:rPr>
        <w:t>5.1 Human rights in the United States</w:t>
      </w:r>
    </w:p>
    <w:p w:rsidR="007526A8" w:rsidRPr="002477EA" w:rsidRDefault="007526A8" w:rsidP="007526A8">
      <w:pPr>
        <w:pStyle w:val="NormalWeb"/>
        <w:shd w:val="clear" w:color="auto" w:fill="FFFFFF"/>
        <w:spacing w:before="120" w:beforeAutospacing="0" w:after="120" w:afterAutospacing="0" w:line="360" w:lineRule="auto"/>
        <w:jc w:val="both"/>
      </w:pPr>
      <w:r w:rsidRPr="002477EA">
        <w:rPr>
          <w:bCs/>
        </w:rPr>
        <w:t>Human rights in the United States</w:t>
      </w:r>
      <w:r w:rsidRPr="002477EA">
        <w:rPr>
          <w:rStyle w:val="apple-converted-space"/>
        </w:rPr>
        <w:t> </w:t>
      </w:r>
      <w:r w:rsidRPr="002477EA">
        <w:t>comprise a series of rights which are legally protected by the</w:t>
      </w:r>
      <w:r w:rsidRPr="002477EA">
        <w:rPr>
          <w:rStyle w:val="apple-converted-space"/>
        </w:rPr>
        <w:t> </w:t>
      </w:r>
      <w:r w:rsidRPr="002477EA">
        <w:t>Constitution of the United States</w:t>
      </w:r>
      <w:r w:rsidRPr="002477EA">
        <w:rPr>
          <w:rStyle w:val="FootnoteReference"/>
        </w:rPr>
        <w:footnoteReference w:id="17"/>
      </w:r>
      <w:r w:rsidRPr="002477EA">
        <w:t>, including the</w:t>
      </w:r>
      <w:r w:rsidRPr="002477EA">
        <w:rPr>
          <w:rStyle w:val="apple-converted-space"/>
        </w:rPr>
        <w:t> </w:t>
      </w:r>
      <w:r w:rsidRPr="002477EA">
        <w:t>amendments</w:t>
      </w:r>
      <w:r w:rsidRPr="002477EA">
        <w:rPr>
          <w:rStyle w:val="apple-converted-space"/>
        </w:rPr>
        <w:t> </w:t>
      </w:r>
      <w:r w:rsidRPr="002477EA">
        <w:rPr>
          <w:rStyle w:val="FootnoteReference"/>
        </w:rPr>
        <w:footnoteReference w:id="18"/>
      </w:r>
      <w:r w:rsidRPr="002477EA">
        <w:t>state constitutions, conferred by treaty, and enacted legislatively through Congress, state legislatures, and state referenda and citizen's initiatives. Federal courts in the United States have jurisdiction over</w:t>
      </w:r>
      <w:r w:rsidRPr="002477EA">
        <w:rPr>
          <w:rStyle w:val="apple-converted-space"/>
        </w:rPr>
        <w:t> </w:t>
      </w:r>
      <w:r w:rsidRPr="002477EA">
        <w:t>international human rights laws</w:t>
      </w:r>
      <w:r w:rsidRPr="002477EA">
        <w:rPr>
          <w:rStyle w:val="apple-converted-space"/>
        </w:rPr>
        <w:t> </w:t>
      </w:r>
      <w:r w:rsidRPr="002477EA">
        <w:t>as a federal question, arising under</w:t>
      </w:r>
      <w:r w:rsidRPr="002477EA">
        <w:rPr>
          <w:rStyle w:val="apple-converted-space"/>
        </w:rPr>
        <w:t> </w:t>
      </w:r>
      <w:r w:rsidRPr="002477EA">
        <w:t>international law, which is part of the</w:t>
      </w:r>
      <w:r w:rsidRPr="002477EA">
        <w:rPr>
          <w:rStyle w:val="apple-converted-space"/>
        </w:rPr>
        <w:t> </w:t>
      </w:r>
      <w:r w:rsidRPr="002477EA">
        <w:t>law of the United States</w:t>
      </w:r>
      <w:r w:rsidRPr="002477EA">
        <w:rPr>
          <w:rStyle w:val="FootnoteReference"/>
        </w:rPr>
        <w:footnoteReference w:id="19"/>
      </w:r>
      <w:r w:rsidRPr="002477EA">
        <w:t>.</w:t>
      </w:r>
    </w:p>
    <w:p w:rsidR="007526A8" w:rsidRPr="002477EA" w:rsidRDefault="007526A8" w:rsidP="007526A8">
      <w:pPr>
        <w:pStyle w:val="NormalWeb"/>
        <w:shd w:val="clear" w:color="auto" w:fill="FFFFFF"/>
        <w:spacing w:before="120" w:beforeAutospacing="0" w:after="120" w:afterAutospacing="0" w:line="360" w:lineRule="auto"/>
        <w:jc w:val="both"/>
      </w:pPr>
      <w:r w:rsidRPr="002477EA">
        <w:t>The human rights record of the</w:t>
      </w:r>
      <w:r w:rsidRPr="002477EA">
        <w:rPr>
          <w:rStyle w:val="apple-converted-space"/>
        </w:rPr>
        <w:t> </w:t>
      </w:r>
      <w:r w:rsidRPr="002477EA">
        <w:t>United States of America</w:t>
      </w:r>
      <w:r w:rsidRPr="002477EA">
        <w:rPr>
          <w:rStyle w:val="apple-converted-space"/>
        </w:rPr>
        <w:t> </w:t>
      </w:r>
      <w:r w:rsidRPr="002477EA">
        <w:t>is a complicated matter; first and foremost the Federal Government of the United States has, through a ratified</w:t>
      </w:r>
      <w:r w:rsidRPr="002477EA">
        <w:rPr>
          <w:rStyle w:val="apple-converted-space"/>
        </w:rPr>
        <w:t> </w:t>
      </w:r>
      <w:r w:rsidRPr="002477EA">
        <w:t>constitution</w:t>
      </w:r>
      <w:r w:rsidRPr="002477EA">
        <w:rPr>
          <w:rStyle w:val="apple-converted-space"/>
        </w:rPr>
        <w:t> </w:t>
      </w:r>
      <w:r w:rsidRPr="002477EA">
        <w:t>and amendments thereof, guaranteed</w:t>
      </w:r>
      <w:r w:rsidRPr="002477EA">
        <w:rPr>
          <w:rStyle w:val="apple-converted-space"/>
        </w:rPr>
        <w:t> </w:t>
      </w:r>
      <w:r w:rsidRPr="002477EA">
        <w:t>unalienable</w:t>
      </w:r>
      <w:r w:rsidRPr="002477EA">
        <w:rPr>
          <w:rStyle w:val="apple-converted-space"/>
        </w:rPr>
        <w:t> </w:t>
      </w:r>
      <w:r w:rsidRPr="002477EA">
        <w:t>rights to citizens of the country, and also to some degree, non-citizens. However, the historical evolution of these rights must be considered as well, as the periphery of the population of the United States who had access to these rights has expanded over time, and in accordance with the</w:t>
      </w:r>
      <w:r w:rsidRPr="002477EA">
        <w:rPr>
          <w:rStyle w:val="apple-converted-space"/>
        </w:rPr>
        <w:t> </w:t>
      </w:r>
      <w:r w:rsidRPr="002477EA">
        <w:t>Universal Declaration of Human Rights</w:t>
      </w:r>
      <w:r w:rsidRPr="002477EA">
        <w:rPr>
          <w:rStyle w:val="apple-converted-space"/>
        </w:rPr>
        <w:t> </w:t>
      </w:r>
      <w:r w:rsidRPr="002477EA">
        <w:t>has not fully expanded complete rights to all human beings within its borders as compared to the international standard set by the United Nations General Assembly, due to social and political issues that stem from its history.</w:t>
      </w:r>
    </w:p>
    <w:p w:rsidR="007526A8" w:rsidRPr="002477EA" w:rsidRDefault="007526A8" w:rsidP="007526A8">
      <w:pPr>
        <w:pStyle w:val="NormalWeb"/>
        <w:shd w:val="clear" w:color="auto" w:fill="FFFFFF"/>
        <w:spacing w:before="120" w:beforeAutospacing="0" w:after="120" w:afterAutospacing="0" w:line="360" w:lineRule="auto"/>
        <w:jc w:val="both"/>
      </w:pPr>
      <w:r w:rsidRPr="002477EA">
        <w:t>Contrary to its constitutionally-protected requirement towards respecting of human rights, the United States has been internationally criticized for its violation of human rights, including</w:t>
      </w:r>
      <w:r w:rsidRPr="002477EA">
        <w:rPr>
          <w:rStyle w:val="apple-converted-space"/>
        </w:rPr>
        <w:t> </w:t>
      </w:r>
      <w:r w:rsidRPr="002477EA">
        <w:t>denying access to basic healthcare, the least protections for workers of any Western country, the return of</w:t>
      </w:r>
      <w:r w:rsidRPr="002477EA">
        <w:rPr>
          <w:rStyle w:val="apple-converted-space"/>
        </w:rPr>
        <w:t> </w:t>
      </w:r>
      <w:r w:rsidRPr="002477EA">
        <w:t>imprisoning people for debt</w:t>
      </w:r>
      <w:r w:rsidRPr="002477EA">
        <w:rPr>
          <w:rStyle w:val="FootnoteReference"/>
        </w:rPr>
        <w:footnoteReference w:id="20"/>
      </w:r>
      <w:r w:rsidRPr="002477EA">
        <w:rPr>
          <w:rStyle w:val="apple-converted-space"/>
        </w:rPr>
        <w:t>, </w:t>
      </w:r>
      <w:r w:rsidRPr="002477EA">
        <w:t>shutting off water to impoverished citizens who cannot afford it</w:t>
      </w:r>
      <w:r w:rsidRPr="002477EA">
        <w:rPr>
          <w:rStyle w:val="FootnoteReference"/>
        </w:rPr>
        <w:footnoteReference w:id="21"/>
      </w:r>
      <w:r w:rsidRPr="002477EA">
        <w:t xml:space="preserve"> deprivation of housing and</w:t>
      </w:r>
      <w:r w:rsidRPr="002477EA">
        <w:rPr>
          <w:rStyle w:val="apple-converted-space"/>
        </w:rPr>
        <w:t> </w:t>
      </w:r>
      <w:r w:rsidRPr="002477EA">
        <w:t>criminalization of homelessness</w:t>
      </w:r>
      <w:r w:rsidRPr="002477EA">
        <w:rPr>
          <w:rStyle w:val="apple-converted-space"/>
        </w:rPr>
        <w:t> </w:t>
      </w:r>
      <w:r w:rsidRPr="002477EA">
        <w:t>and</w:t>
      </w:r>
      <w:r w:rsidRPr="002477EA">
        <w:rPr>
          <w:rStyle w:val="apple-converted-space"/>
        </w:rPr>
        <w:t> </w:t>
      </w:r>
      <w:r w:rsidRPr="002477EA">
        <w:t>poverty</w:t>
      </w:r>
      <w:r w:rsidRPr="002477EA">
        <w:rPr>
          <w:rStyle w:val="apple-converted-space"/>
        </w:rPr>
        <w:t>,  </w:t>
      </w:r>
      <w:r w:rsidRPr="002477EA">
        <w:t>invading the privacy of its citizens through</w:t>
      </w:r>
      <w:r w:rsidRPr="002477EA">
        <w:rPr>
          <w:rStyle w:val="apple-converted-space"/>
        </w:rPr>
        <w:t> </w:t>
      </w:r>
      <w:r w:rsidRPr="002477EA">
        <w:t>surveillance programs,</w:t>
      </w:r>
      <w:r w:rsidRPr="002477EA">
        <w:rPr>
          <w:rStyle w:val="apple-converted-space"/>
        </w:rPr>
        <w:t> </w:t>
      </w:r>
      <w:r w:rsidRPr="002477EA">
        <w:t>institutional racism ,gender discrimination,</w:t>
      </w:r>
      <w:r w:rsidRPr="002477EA">
        <w:rPr>
          <w:rStyle w:val="apple-converted-space"/>
        </w:rPr>
        <w:t> </w:t>
      </w:r>
      <w:r w:rsidRPr="002477EA">
        <w:t>police brutality,</w:t>
      </w:r>
      <w:r w:rsidRPr="002477EA">
        <w:rPr>
          <w:rStyle w:val="apple-converted-space"/>
        </w:rPr>
        <w:t> </w:t>
      </w:r>
      <w:r w:rsidRPr="002477EA">
        <w:t>the</w:t>
      </w:r>
      <w:r w:rsidRPr="002477EA">
        <w:rPr>
          <w:rStyle w:val="apple-converted-space"/>
        </w:rPr>
        <w:t> </w:t>
      </w:r>
      <w:r w:rsidRPr="002477EA">
        <w:t>incarceration of citizens for profit, the</w:t>
      </w:r>
      <w:r w:rsidRPr="002477EA">
        <w:rPr>
          <w:rStyle w:val="apple-converted-space"/>
        </w:rPr>
        <w:t> </w:t>
      </w:r>
      <w:r w:rsidRPr="002477EA">
        <w:t>mistreatment of prisoners</w:t>
      </w:r>
      <w:r w:rsidRPr="002477EA">
        <w:rPr>
          <w:rStyle w:val="apple-converted-space"/>
        </w:rPr>
        <w:t> </w:t>
      </w:r>
      <w:r w:rsidRPr="002477EA">
        <w:t>and</w:t>
      </w:r>
      <w:r w:rsidRPr="002477EA">
        <w:rPr>
          <w:rStyle w:val="apple-converted-space"/>
        </w:rPr>
        <w:t> </w:t>
      </w:r>
      <w:r w:rsidRPr="002477EA">
        <w:t>juveniles in the prison system,</w:t>
      </w:r>
      <w:r w:rsidRPr="002477EA">
        <w:rPr>
          <w:rStyle w:val="apple-converted-space"/>
        </w:rPr>
        <w:t> </w:t>
      </w:r>
      <w:r w:rsidRPr="002477EA">
        <w:t xml:space="preserve">crackdowns on peaceful protesters, the </w:t>
      </w:r>
      <w:r w:rsidRPr="002477EA">
        <w:lastRenderedPageBreak/>
        <w:t>continued</w:t>
      </w:r>
      <w:r w:rsidRPr="002477EA">
        <w:rPr>
          <w:rStyle w:val="apple-converted-space"/>
        </w:rPr>
        <w:t> </w:t>
      </w:r>
      <w:r w:rsidRPr="002477EA">
        <w:t>support for foreign dictators</w:t>
      </w:r>
      <w:r w:rsidRPr="002477EA">
        <w:rPr>
          <w:rStyle w:val="apple-converted-space"/>
        </w:rPr>
        <w:t> </w:t>
      </w:r>
      <w:r w:rsidRPr="002477EA">
        <w:t>who commit abuses (including genocide) against their own people, unconstitutional</w:t>
      </w:r>
      <w:r w:rsidRPr="002477EA">
        <w:rPr>
          <w:rStyle w:val="apple-converted-space"/>
        </w:rPr>
        <w:t> </w:t>
      </w:r>
      <w:r w:rsidRPr="002477EA">
        <w:t>denial of voting rights</w:t>
      </w:r>
      <w:r w:rsidRPr="002477EA">
        <w:rPr>
          <w:rStyle w:val="apple-converted-space"/>
        </w:rPr>
        <w:t> </w:t>
      </w:r>
      <w:r w:rsidRPr="002477EA">
        <w:t>of certain races or political affiliations, and the illegal detainment and torture of prisoners at</w:t>
      </w:r>
      <w:r w:rsidRPr="002477EA">
        <w:rPr>
          <w:rStyle w:val="apple-converted-space"/>
        </w:rPr>
        <w:t> </w:t>
      </w:r>
      <w:r w:rsidRPr="002477EA">
        <w:t>Guantanamo Bay.</w:t>
      </w:r>
    </w:p>
    <w:p w:rsidR="007526A8" w:rsidRPr="002477EA" w:rsidRDefault="007526A8" w:rsidP="007526A8">
      <w:pPr>
        <w:pStyle w:val="NormalWeb"/>
        <w:shd w:val="clear" w:color="auto" w:fill="FFFFFF"/>
        <w:spacing w:before="120" w:beforeAutospacing="0" w:after="120" w:afterAutospacing="0" w:line="360" w:lineRule="auto"/>
        <w:jc w:val="both"/>
      </w:pPr>
      <w:r w:rsidRPr="002477EA">
        <w:t>Some observers give the U.S. high to fair marks on human rights</w:t>
      </w:r>
      <w:r w:rsidRPr="002477EA">
        <w:rPr>
          <w:vertAlign w:val="superscript"/>
        </w:rPr>
        <w:t xml:space="preserve"> </w:t>
      </w:r>
      <w:r w:rsidRPr="002477EA">
        <w:t>while others charge it with a persistent pattern of human rights violations</w:t>
      </w:r>
      <w:r w:rsidRPr="002477EA">
        <w:rPr>
          <w:rStyle w:val="FootnoteReference"/>
        </w:rPr>
        <w:footnoteReference w:id="22"/>
      </w:r>
      <w:r w:rsidRPr="002477EA">
        <w:t>.</w:t>
      </w:r>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 xml:space="preserve">The first human rights organization in the   of  </w:t>
      </w:r>
      <w:r w:rsidRPr="002477EA">
        <w:rPr>
          <w:rFonts w:ascii="Times New Roman" w:hAnsi="Times New Roman"/>
          <w:sz w:val="24"/>
          <w:szCs w:val="24"/>
          <w:u w:val="single"/>
        </w:rPr>
        <w:t>British Americ</w:t>
      </w:r>
      <w:r w:rsidRPr="002477EA">
        <w:rPr>
          <w:rFonts w:ascii="Times New Roman" w:hAnsi="Times New Roman"/>
          <w:sz w:val="24"/>
          <w:szCs w:val="24"/>
        </w:rPr>
        <w:t>, dedicated to the abolition of slavery, was formed by </w:t>
      </w:r>
      <w:hyperlink r:id="rId9" w:tooltip="Anthony Benezet" w:history="1">
        <w:r w:rsidRPr="002477EA">
          <w:rPr>
            <w:rFonts w:ascii="Times New Roman" w:hAnsi="Times New Roman"/>
            <w:sz w:val="24"/>
            <w:szCs w:val="24"/>
          </w:rPr>
          <w:t>Anthony  Benezet</w:t>
        </w:r>
      </w:hyperlink>
      <w:r w:rsidRPr="002477EA">
        <w:rPr>
          <w:rFonts w:ascii="Times New Roman" w:hAnsi="Times New Roman"/>
          <w:sz w:val="24"/>
          <w:szCs w:val="24"/>
        </w:rPr>
        <w:t> in 1775. A year later, the Declaration of Independence announced that the Thirteen Colonies regarded themselves as independent states, and no longer a part of the British Empire. The second sentence of the Declaration of Independence, which has become a well-known statement on </w:t>
      </w:r>
      <w:hyperlink r:id="rId10" w:tooltip="Human rights" w:history="1">
        <w:r w:rsidRPr="002477EA">
          <w:rPr>
            <w:rFonts w:ascii="Times New Roman" w:hAnsi="Times New Roman"/>
            <w:sz w:val="24"/>
            <w:szCs w:val="24"/>
          </w:rPr>
          <w:t>human rights</w:t>
        </w:r>
      </w:hyperlink>
      <w:r w:rsidRPr="002477EA">
        <w:rPr>
          <w:rFonts w:ascii="Times New Roman" w:hAnsi="Times New Roman"/>
          <w:sz w:val="24"/>
          <w:szCs w:val="24"/>
        </w:rPr>
        <w:t>, read "We hold these truths to be self-evident, that </w:t>
      </w:r>
      <w:hyperlink r:id="rId11" w:tooltip="All men are created equal" w:history="1">
        <w:r w:rsidRPr="002477EA">
          <w:rPr>
            <w:rFonts w:ascii="Times New Roman" w:hAnsi="Times New Roman"/>
            <w:sz w:val="24"/>
            <w:szCs w:val="24"/>
          </w:rPr>
          <w:t>all men are created equal</w:t>
        </w:r>
      </w:hyperlink>
      <w:r w:rsidRPr="002477EA">
        <w:rPr>
          <w:rFonts w:ascii="Times New Roman" w:hAnsi="Times New Roman"/>
          <w:sz w:val="24"/>
          <w:szCs w:val="24"/>
        </w:rPr>
        <w:t>, that they are endowed by their Creator with certain unalienable Rights, that among these are </w:t>
      </w:r>
      <w:hyperlink r:id="rId12" w:tooltip="Life, liberty and the pursuit of happiness" w:history="1">
        <w:r w:rsidRPr="002477EA">
          <w:rPr>
            <w:rFonts w:ascii="Times New Roman" w:hAnsi="Times New Roman"/>
            <w:sz w:val="24"/>
            <w:szCs w:val="24"/>
          </w:rPr>
          <w:t>Life, Liberty and the pursuit of Happiness</w:t>
        </w:r>
      </w:hyperlink>
      <w:r w:rsidRPr="002477EA">
        <w:rPr>
          <w:rStyle w:val="FootnoteReference"/>
          <w:rFonts w:ascii="Times New Roman" w:hAnsi="Times New Roman"/>
          <w:sz w:val="24"/>
          <w:szCs w:val="24"/>
        </w:rPr>
        <w:footnoteReference w:id="23"/>
      </w:r>
      <w:r w:rsidRPr="002477EA">
        <w:rPr>
          <w:rFonts w:ascii="Times New Roman" w:hAnsi="Times New Roman"/>
          <w:sz w:val="24"/>
          <w:szCs w:val="24"/>
          <w:u w:val="single"/>
        </w:rPr>
        <w:t xml:space="preserve">. </w:t>
      </w:r>
      <w:r w:rsidRPr="002477EA">
        <w:rPr>
          <w:rFonts w:ascii="Times New Roman" w:hAnsi="Times New Roman"/>
          <w:sz w:val="24"/>
          <w:szCs w:val="24"/>
        </w:rPr>
        <w:t>This view of human liberties, which developed during the , postulates that fundamental rights are not granted by a divine or supernatural being to monarchs who then grant them to subjects, but are granted by a divine or supernatural being to each man (but not woman) and are inalienable and inherent.</w:t>
      </w:r>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After the Revolutionary War, the former thirteen colonies went through a pre-government phase of more than a decade, with much debate about the form of government they would have.</w:t>
      </w:r>
      <w:hyperlink r:id="rId13" w:anchor="cite_note-21" w:history="1">
        <w:r w:rsidRPr="002477EA">
          <w:rPr>
            <w:rFonts w:ascii="Times New Roman" w:hAnsi="Times New Roman"/>
            <w:sz w:val="24"/>
            <w:szCs w:val="24"/>
            <w:u w:val="single"/>
            <w:vertAlign w:val="superscript"/>
          </w:rPr>
          <w:t>[21]</w:t>
        </w:r>
      </w:hyperlink>
      <w:r w:rsidRPr="002477EA">
        <w:rPr>
          <w:rFonts w:ascii="Times New Roman" w:hAnsi="Times New Roman"/>
          <w:sz w:val="24"/>
          <w:szCs w:val="24"/>
        </w:rPr>
        <w:t> The United States Constitution, adopted in 1787 through ratification at a national convention and conventions in the colonies, created a </w:t>
      </w:r>
      <w:hyperlink r:id="rId14" w:tooltip="Republic" w:history="1">
        <w:r w:rsidRPr="002477EA">
          <w:rPr>
            <w:rFonts w:ascii="Times New Roman" w:hAnsi="Times New Roman"/>
            <w:sz w:val="24"/>
            <w:szCs w:val="24"/>
          </w:rPr>
          <w:t>republic</w:t>
        </w:r>
      </w:hyperlink>
      <w:r w:rsidRPr="002477EA">
        <w:rPr>
          <w:rFonts w:ascii="Times New Roman" w:hAnsi="Times New Roman"/>
          <w:sz w:val="24"/>
          <w:szCs w:val="24"/>
        </w:rPr>
        <w:t> that guaranteed several rights and civil liberties; the Constitution significantly referred to "Persons", not "Men" as was used in the Declaration of Independence, omitted any reference to the supernatural imagination (such as a "Creator" or "God") and any authority derived or divined therefrom, and allowed "affirmation" in lieu of an "oath" if preferred</w:t>
      </w:r>
      <w:r w:rsidRPr="002477EA">
        <w:rPr>
          <w:rFonts w:ascii="Times New Roman" w:hAnsi="Times New Roman"/>
          <w:sz w:val="24"/>
          <w:szCs w:val="24"/>
          <w:u w:val="single"/>
          <w:vertAlign w:val="superscript"/>
        </w:rPr>
        <w:t>]</w:t>
      </w:r>
      <w:r w:rsidRPr="002477EA">
        <w:rPr>
          <w:rFonts w:ascii="Times New Roman" w:hAnsi="Times New Roman"/>
          <w:sz w:val="24"/>
          <w:szCs w:val="24"/>
        </w:rPr>
        <w:t> The Constitution thus eliminated any requirement of supernatural grant of human rights and provided that they belonged to all Persons (presumably meaning men and women, and perhaps children, although the developmental distinction between children and adults poses issues and has been the subject of subsequent amendments, as discussed below). Some of this conceptualization may have arisen from the significant </w:t>
      </w:r>
      <w:hyperlink r:id="rId15" w:tooltip="Quakers" w:history="1">
        <w:r w:rsidRPr="002477EA">
          <w:rPr>
            <w:rFonts w:ascii="Times New Roman" w:hAnsi="Times New Roman"/>
            <w:sz w:val="24"/>
            <w:szCs w:val="24"/>
          </w:rPr>
          <w:t>Quaker</w:t>
        </w:r>
      </w:hyperlink>
      <w:r w:rsidRPr="002477EA">
        <w:rPr>
          <w:rFonts w:ascii="Times New Roman" w:hAnsi="Times New Roman"/>
          <w:sz w:val="24"/>
          <w:szCs w:val="24"/>
        </w:rPr>
        <w:t xml:space="preserve"> segment of the </w:t>
      </w:r>
      <w:r w:rsidRPr="002477EA">
        <w:rPr>
          <w:rFonts w:ascii="Times New Roman" w:hAnsi="Times New Roman"/>
          <w:sz w:val="24"/>
          <w:szCs w:val="24"/>
        </w:rPr>
        <w:lastRenderedPageBreak/>
        <w:t>population in the colonies, especially in the Delaware Valley, and their religious views that all human beings, regardless of sex, age, or race or other characteristics, had the same </w:t>
      </w:r>
      <w:hyperlink r:id="rId16" w:tooltip="Inner light" w:history="1">
        <w:r w:rsidRPr="002477EA">
          <w:rPr>
            <w:rFonts w:ascii="Times New Roman" w:hAnsi="Times New Roman"/>
            <w:sz w:val="24"/>
            <w:szCs w:val="24"/>
            <w:u w:val="single"/>
          </w:rPr>
          <w:t>I</w:t>
        </w:r>
        <w:r w:rsidRPr="002477EA">
          <w:rPr>
            <w:rFonts w:ascii="Times New Roman" w:hAnsi="Times New Roman"/>
            <w:sz w:val="24"/>
            <w:szCs w:val="24"/>
          </w:rPr>
          <w:t>nner ligh</w:t>
        </w:r>
        <w:r w:rsidRPr="002477EA">
          <w:rPr>
            <w:rFonts w:ascii="Times New Roman" w:hAnsi="Times New Roman"/>
            <w:sz w:val="24"/>
            <w:szCs w:val="24"/>
            <w:u w:val="single"/>
          </w:rPr>
          <w:t>t</w:t>
        </w:r>
      </w:hyperlink>
      <w:r w:rsidRPr="002477EA">
        <w:rPr>
          <w:rFonts w:ascii="Times New Roman" w:hAnsi="Times New Roman"/>
          <w:sz w:val="24"/>
          <w:szCs w:val="24"/>
        </w:rPr>
        <w:t>. Quaker and Quaker-derived views would have informed the drafting and ratification of the Constitution, including through the direct influence of some of the Framers of the Constitution, such as </w:t>
      </w:r>
      <w:hyperlink r:id="rId17" w:tooltip="John Dickinson (politician)" w:history="1">
        <w:r w:rsidRPr="002477EA">
          <w:rPr>
            <w:rFonts w:ascii="Times New Roman" w:hAnsi="Times New Roman"/>
            <w:sz w:val="24"/>
            <w:szCs w:val="24"/>
          </w:rPr>
          <w:t>John Dickinson</w:t>
        </w:r>
      </w:hyperlink>
      <w:r w:rsidRPr="002477EA">
        <w:rPr>
          <w:rFonts w:ascii="Times New Roman" w:hAnsi="Times New Roman"/>
          <w:sz w:val="24"/>
          <w:szCs w:val="24"/>
        </w:rPr>
        <w:t> and </w:t>
      </w:r>
      <w:hyperlink r:id="rId18" w:tooltip="Thomas Mifflin" w:history="1">
        <w:r w:rsidRPr="002477EA">
          <w:rPr>
            <w:rFonts w:ascii="Times New Roman" w:hAnsi="Times New Roman"/>
            <w:sz w:val="24"/>
            <w:szCs w:val="24"/>
          </w:rPr>
          <w:t>Thomas Mifflin</w:t>
        </w:r>
      </w:hyperlink>
      <w:r w:rsidRPr="002477EA">
        <w:rPr>
          <w:rFonts w:ascii="Times New Roman" w:hAnsi="Times New Roman"/>
          <w:sz w:val="24"/>
          <w:szCs w:val="24"/>
        </w:rPr>
        <w:t>, who were either Quakers themselves or came from regions founded by or heavily populated with Quakers.</w:t>
      </w:r>
      <w:hyperlink r:id="rId19" w:anchor="cite_note-23" w:history="1">
        <w:r w:rsidRPr="002477EA">
          <w:rPr>
            <w:rFonts w:ascii="Times New Roman" w:hAnsi="Times New Roman"/>
            <w:sz w:val="24"/>
            <w:szCs w:val="24"/>
            <w:u w:val="single"/>
            <w:vertAlign w:val="superscript"/>
          </w:rPr>
          <w:t>[23]</w:t>
        </w:r>
      </w:hyperlink>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Dickinson, Mifflin and other Framers who objected to slavery were outvoted on that question, however, and the original Constitution sanctioned slavery (although not based on race or other characteristic of the slave) and, through the </w:t>
      </w:r>
      <w:hyperlink r:id="rId20" w:tooltip="Three-Fifths Compromise" w:history="1">
        <w:r w:rsidRPr="002477EA">
          <w:rPr>
            <w:rFonts w:ascii="Times New Roman" w:hAnsi="Times New Roman"/>
            <w:sz w:val="24"/>
            <w:szCs w:val="24"/>
          </w:rPr>
          <w:t>Three-Fifths Compromise</w:t>
        </w:r>
      </w:hyperlink>
      <w:r w:rsidRPr="002477EA">
        <w:rPr>
          <w:rFonts w:ascii="Times New Roman" w:hAnsi="Times New Roman"/>
          <w:sz w:val="24"/>
          <w:szCs w:val="24"/>
        </w:rPr>
        <w:t xml:space="preserve">, counted slaves (who were not defined by race) as three-fifths of a Person for purposes of distribution of taxes and representation in the House of Representatives (although the slaves themselves were discriminated against in voting for such representatives). See </w:t>
      </w:r>
      <w:hyperlink r:id="rId21" w:tooltip="Three-Fifths Compromise" w:history="1">
        <w:r w:rsidRPr="002477EA">
          <w:rPr>
            <w:rFonts w:ascii="Times New Roman" w:hAnsi="Times New Roman"/>
            <w:sz w:val="24"/>
            <w:szCs w:val="24"/>
          </w:rPr>
          <w:t>Three-Fifths Compromise</w:t>
        </w:r>
      </w:hyperlink>
      <w:r w:rsidRPr="002477EA">
        <w:rPr>
          <w:rFonts w:ascii="Times New Roman" w:hAnsi="Times New Roman"/>
          <w:sz w:val="24"/>
          <w:szCs w:val="24"/>
        </w:rPr>
        <w:t>.</w:t>
      </w:r>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As the new Constitution took effect in practice, concern over individual liberties and concentration of power at the federal level, gave rise to the amendment of the Constitution through adoption of the </w:t>
      </w:r>
      <w:hyperlink r:id="rId22" w:tooltip="United States Bill of Rights" w:history="1">
        <w:r w:rsidRPr="002477EA">
          <w:rPr>
            <w:rFonts w:ascii="Times New Roman" w:hAnsi="Times New Roman"/>
            <w:sz w:val="24"/>
            <w:szCs w:val="24"/>
          </w:rPr>
          <w:t>Bill of Rights</w:t>
        </w:r>
      </w:hyperlink>
      <w:r w:rsidRPr="002477EA">
        <w:rPr>
          <w:rFonts w:ascii="Times New Roman" w:hAnsi="Times New Roman"/>
          <w:sz w:val="24"/>
          <w:szCs w:val="24"/>
        </w:rPr>
        <w:t> (the first ten amendments of the Constitution).</w:t>
      </w:r>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Courts and legislatures also began to vary in the interpretation of "Person," with some jurisdictions narrowing the meaning of "Person" to cover only people with property, only men, or only white men. For example, although women had been voting in some states, such as New Jersey, since the founding of the United States, and prior to that in the colonial era, other states denied them the vote. In 1756 </w:t>
      </w:r>
      <w:hyperlink r:id="rId23" w:tooltip="Lydia Taft" w:history="1">
        <w:r w:rsidRPr="002477EA">
          <w:rPr>
            <w:rFonts w:ascii="Times New Roman" w:hAnsi="Times New Roman"/>
            <w:sz w:val="24"/>
            <w:szCs w:val="24"/>
          </w:rPr>
          <w:t>Lydia Chapin Taft</w:t>
        </w:r>
      </w:hyperlink>
      <w:r w:rsidRPr="002477EA">
        <w:rPr>
          <w:rFonts w:ascii="Times New Roman" w:hAnsi="Times New Roman"/>
          <w:sz w:val="24"/>
          <w:szCs w:val="24"/>
        </w:rPr>
        <w:t> voted</w:t>
      </w:r>
      <w:r w:rsidRPr="002477EA">
        <w:rPr>
          <w:rStyle w:val="FootnoteReference"/>
          <w:rFonts w:ascii="Times New Roman" w:hAnsi="Times New Roman"/>
          <w:sz w:val="24"/>
          <w:szCs w:val="24"/>
        </w:rPr>
        <w:footnoteReference w:id="24"/>
      </w:r>
      <w:r w:rsidRPr="002477EA">
        <w:rPr>
          <w:rFonts w:ascii="Times New Roman" w:hAnsi="Times New Roman"/>
          <w:sz w:val="24"/>
          <w:szCs w:val="24"/>
        </w:rPr>
        <w:t>, casting a vote in the local town hall meeting in place of her deceased husband</w:t>
      </w:r>
      <w:r w:rsidRPr="002477EA">
        <w:rPr>
          <w:rFonts w:ascii="Times New Roman" w:hAnsi="Times New Roman"/>
          <w:sz w:val="24"/>
          <w:szCs w:val="24"/>
          <w:u w:val="single"/>
          <w:vertAlign w:val="superscript"/>
        </w:rPr>
        <w:t>]</w:t>
      </w:r>
      <w:r w:rsidRPr="002477EA">
        <w:rPr>
          <w:rFonts w:ascii="Times New Roman" w:hAnsi="Times New Roman"/>
          <w:sz w:val="24"/>
          <w:szCs w:val="24"/>
        </w:rPr>
        <w:t> In 1777 women lost the right to exercise their vote in New York, in 1780 women lost the right to exercise their vote in Massachusetts, and in 1784 women lost the right to exercise their vote in New Hampshire</w:t>
      </w:r>
      <w:r w:rsidRPr="002477EA">
        <w:rPr>
          <w:rStyle w:val="FootnoteReference"/>
          <w:rFonts w:ascii="Times New Roman" w:hAnsi="Times New Roman"/>
          <w:sz w:val="24"/>
          <w:szCs w:val="24"/>
        </w:rPr>
        <w:footnoteReference w:id="25"/>
      </w:r>
      <w:r w:rsidRPr="002477EA">
        <w:rPr>
          <w:rFonts w:ascii="Times New Roman" w:hAnsi="Times New Roman"/>
          <w:sz w:val="24"/>
          <w:szCs w:val="24"/>
        </w:rPr>
        <w:t>. From 1775 until 1807, the state constitution in New Jersey permitted all persons worth over fifty pounds (about $7,800 adjusted for inflation, with the election laws referring to the voters as "he or she") to vote; provided they had this property, free black men and single women regardless of race therefore had the vote until 1807, but not married women, who could have no independent claim to ownership of fifty pounds (anything they owned or earned belonged to their husbands by the </w:t>
      </w:r>
      <w:hyperlink r:id="rId24" w:tooltip="Common law" w:history="1">
        <w:r w:rsidRPr="002477EA">
          <w:rPr>
            <w:rFonts w:ascii="Times New Roman" w:hAnsi="Times New Roman"/>
            <w:sz w:val="24"/>
            <w:szCs w:val="24"/>
          </w:rPr>
          <w:t xml:space="preserve">Common </w:t>
        </w:r>
        <w:r w:rsidRPr="002477EA">
          <w:rPr>
            <w:rFonts w:ascii="Times New Roman" w:hAnsi="Times New Roman"/>
            <w:sz w:val="24"/>
            <w:szCs w:val="24"/>
          </w:rPr>
          <w:lastRenderedPageBreak/>
          <w:t>law</w:t>
        </w:r>
      </w:hyperlink>
      <w:r w:rsidRPr="002477EA">
        <w:rPr>
          <w:rFonts w:ascii="Times New Roman" w:hAnsi="Times New Roman"/>
          <w:sz w:val="24"/>
          <w:szCs w:val="24"/>
        </w:rPr>
        <w:t> of </w:t>
      </w:r>
      <w:hyperlink r:id="rId25" w:tooltip="Coverture" w:history="1">
        <w:r w:rsidRPr="002477EA">
          <w:rPr>
            <w:rFonts w:ascii="Times New Roman" w:hAnsi="Times New Roman"/>
            <w:sz w:val="24"/>
            <w:szCs w:val="24"/>
            <w:u w:val="single"/>
          </w:rPr>
          <w:t>Coverture</w:t>
        </w:r>
      </w:hyperlink>
      <w:r w:rsidRPr="002477EA">
        <w:rPr>
          <w:rFonts w:ascii="Times New Roman" w:hAnsi="Times New Roman"/>
          <w:sz w:val="24"/>
          <w:szCs w:val="24"/>
        </w:rPr>
        <w:t>)  In 1790, the law was revised to specifically include women, but in 1807 the law was again revised to exclude them, an unconstitutional act since the state constitution specifically made any such change dependent on the general suffrage. See </w:t>
      </w:r>
      <w:hyperlink r:id="rId26" w:tooltip="Women's suffrage in the United States" w:history="1">
        <w:r w:rsidRPr="002477EA">
          <w:rPr>
            <w:rFonts w:ascii="Times New Roman" w:hAnsi="Times New Roman"/>
            <w:sz w:val="24"/>
            <w:szCs w:val="24"/>
          </w:rPr>
          <w:t>Women's suffrage in the United States</w:t>
        </w:r>
      </w:hyperlink>
      <w:r w:rsidRPr="002477EA">
        <w:rPr>
          <w:rFonts w:ascii="Times New Roman" w:hAnsi="Times New Roman"/>
          <w:sz w:val="24"/>
          <w:szCs w:val="24"/>
        </w:rPr>
        <w:t>. Through the doctrine of </w:t>
      </w:r>
      <w:hyperlink r:id="rId27" w:tooltip="Coverture" w:history="1">
        <w:r w:rsidRPr="002477EA">
          <w:rPr>
            <w:rFonts w:ascii="Times New Roman" w:hAnsi="Times New Roman"/>
            <w:sz w:val="24"/>
            <w:szCs w:val="24"/>
            <w:u w:val="single"/>
          </w:rPr>
          <w:t>coverture</w:t>
        </w:r>
      </w:hyperlink>
      <w:r w:rsidRPr="002477EA">
        <w:rPr>
          <w:rFonts w:ascii="Times New Roman" w:hAnsi="Times New Roman"/>
          <w:sz w:val="24"/>
          <w:szCs w:val="24"/>
        </w:rPr>
        <w:t>, many states also denied married women the right to own property in their own name, although most allowed single women (widowed, divorced or never married) the "Person" status of men, sometimes pursuant to the common law concept of a </w:t>
      </w:r>
      <w:hyperlink r:id="rId28" w:tooltip="Femme sole" w:history="1">
        <w:r w:rsidRPr="002477EA">
          <w:rPr>
            <w:rFonts w:ascii="Times New Roman" w:hAnsi="Times New Roman"/>
            <w:sz w:val="24"/>
            <w:szCs w:val="24"/>
          </w:rPr>
          <w:t>femme sole</w:t>
        </w:r>
      </w:hyperlink>
      <w:r w:rsidRPr="002477EA">
        <w:rPr>
          <w:rFonts w:ascii="Times New Roman" w:hAnsi="Times New Roman"/>
          <w:sz w:val="24"/>
          <w:szCs w:val="24"/>
        </w:rPr>
        <w:t>. Over the years, a variety of claimants sought to assert that discrimination against women in voting, in property ownership, in occupational license, and other matters was unconstitutional given the Constitution's use of the term "Person", but the all-male courts did not give this fair hearing. See, e.g., </w:t>
      </w:r>
      <w:hyperlink r:id="rId29" w:tooltip="Bradwell v. Illinois" w:history="1">
        <w:r w:rsidRPr="002477EA">
          <w:rPr>
            <w:rFonts w:ascii="Times New Roman" w:hAnsi="Times New Roman"/>
            <w:sz w:val="24"/>
            <w:szCs w:val="24"/>
          </w:rPr>
          <w:t>Bradwell v. Illinois</w:t>
        </w:r>
      </w:hyperlink>
      <w:r w:rsidRPr="002477EA">
        <w:rPr>
          <w:rStyle w:val="FootnoteReference"/>
          <w:rFonts w:ascii="Times New Roman" w:hAnsi="Times New Roman"/>
          <w:sz w:val="24"/>
          <w:szCs w:val="24"/>
        </w:rPr>
        <w:footnoteReference w:id="26"/>
      </w:r>
      <w:r w:rsidRPr="002477EA">
        <w:rPr>
          <w:rFonts w:ascii="Times New Roman" w:hAnsi="Times New Roman"/>
          <w:sz w:val="24"/>
          <w:szCs w:val="24"/>
        </w:rPr>
        <w:t>.</w:t>
      </w:r>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In the 1860s, after decades of conflict over southern states' continued practice of slavery, and northern states' outlawing it, the </w:t>
      </w:r>
      <w:hyperlink r:id="rId30" w:tooltip="Civil War (United States)" w:history="1">
        <w:r w:rsidRPr="002477EA">
          <w:rPr>
            <w:rFonts w:ascii="Times New Roman" w:hAnsi="Times New Roman"/>
            <w:sz w:val="24"/>
            <w:szCs w:val="24"/>
          </w:rPr>
          <w:t>Civil War</w:t>
        </w:r>
      </w:hyperlink>
      <w:r w:rsidRPr="002477EA">
        <w:rPr>
          <w:rFonts w:ascii="Times New Roman" w:hAnsi="Times New Roman"/>
          <w:sz w:val="24"/>
          <w:szCs w:val="24"/>
        </w:rPr>
        <w:t> was fought, and in its aftermath the Constitution was amended to prohibit slavery and to prohibit states' denying rights granted in the Constitution. Among these amendments was the </w:t>
      </w:r>
      <w:hyperlink r:id="rId31" w:tooltip="Fourteenth Amendment to the United States Constitution" w:history="1">
        <w:r w:rsidRPr="002477EA">
          <w:rPr>
            <w:rFonts w:ascii="Times New Roman" w:hAnsi="Times New Roman"/>
            <w:sz w:val="24"/>
            <w:szCs w:val="24"/>
          </w:rPr>
          <w:t>Fourteenth Amendment</w:t>
        </w:r>
      </w:hyperlink>
      <w:r w:rsidRPr="002477EA">
        <w:rPr>
          <w:rFonts w:ascii="Times New Roman" w:hAnsi="Times New Roman"/>
          <w:sz w:val="24"/>
          <w:szCs w:val="24"/>
        </w:rPr>
        <w:t>, which included an </w:t>
      </w:r>
      <w:hyperlink r:id="rId32" w:tooltip="Equal Protection Clause" w:history="1">
        <w:r w:rsidRPr="002477EA">
          <w:rPr>
            <w:rFonts w:ascii="Times New Roman" w:hAnsi="Times New Roman"/>
            <w:sz w:val="24"/>
            <w:szCs w:val="24"/>
          </w:rPr>
          <w:t>Equal Protection Clause</w:t>
        </w:r>
      </w:hyperlink>
      <w:r w:rsidRPr="002477EA">
        <w:rPr>
          <w:rFonts w:ascii="Times New Roman" w:hAnsi="Times New Roman"/>
          <w:sz w:val="24"/>
          <w:szCs w:val="24"/>
        </w:rPr>
        <w:t> which seemed to clarify that courts and states were prohibited in narrowing the meaning of "Persons". After the </w:t>
      </w:r>
      <w:hyperlink r:id="rId33" w:tooltip="Fourteenth Amendment to the United States Constitution" w:history="1">
        <w:r w:rsidRPr="002477EA">
          <w:rPr>
            <w:rFonts w:ascii="Times New Roman" w:hAnsi="Times New Roman"/>
            <w:sz w:val="24"/>
            <w:szCs w:val="24"/>
          </w:rPr>
          <w:t>Fourteenth Amendment to the United States Constitution</w:t>
        </w:r>
      </w:hyperlink>
      <w:r w:rsidRPr="002477EA">
        <w:rPr>
          <w:rFonts w:ascii="Times New Roman" w:hAnsi="Times New Roman"/>
          <w:sz w:val="24"/>
          <w:szCs w:val="24"/>
        </w:rPr>
        <w:t> was adopted, </w:t>
      </w:r>
      <w:hyperlink r:id="rId34" w:tooltip="Susan B. Anthony" w:history="1">
        <w:r w:rsidRPr="002477EA">
          <w:rPr>
            <w:rFonts w:ascii="Times New Roman" w:hAnsi="Times New Roman"/>
            <w:sz w:val="24"/>
            <w:szCs w:val="24"/>
          </w:rPr>
          <w:t>Susan B. Anthony</w:t>
        </w:r>
      </w:hyperlink>
      <w:r w:rsidRPr="002477EA">
        <w:rPr>
          <w:rFonts w:ascii="Times New Roman" w:hAnsi="Times New Roman"/>
          <w:sz w:val="24"/>
          <w:szCs w:val="24"/>
        </w:rPr>
        <w:t xml:space="preserve">, buttressed by the equal protection language, voted. She was prosecuted for this, however, and ran into an all-male court ruling that women were not "Persons"; the court leveed a fine but it was never collected. </w:t>
      </w:r>
    </w:p>
    <w:p w:rsidR="007526A8" w:rsidRPr="002477EA" w:rsidRDefault="007526A8" w:rsidP="007526A8">
      <w:pPr>
        <w:shd w:val="clear" w:color="auto" w:fill="FFFFFF"/>
        <w:spacing w:before="120" w:after="120" w:line="336" w:lineRule="atLeast"/>
        <w:jc w:val="both"/>
        <w:rPr>
          <w:rFonts w:ascii="Times New Roman" w:hAnsi="Times New Roman"/>
          <w:sz w:val="24"/>
          <w:szCs w:val="24"/>
        </w:rPr>
      </w:pPr>
      <w:r w:rsidRPr="002477EA">
        <w:rPr>
          <w:rFonts w:ascii="Times New Roman" w:hAnsi="Times New Roman"/>
          <w:sz w:val="24"/>
          <w:szCs w:val="24"/>
        </w:rPr>
        <w:t>Martin Luther King at the 1963 Civil Rights March on Washington, D .C.</w:t>
      </w:r>
      <w:r w:rsidRPr="002477EA">
        <w:rPr>
          <w:rStyle w:val="FootnoteReference"/>
          <w:rFonts w:ascii="Times New Roman" w:hAnsi="Times New Roman"/>
          <w:sz w:val="24"/>
          <w:szCs w:val="24"/>
        </w:rPr>
        <w:footnoteReference w:id="27"/>
      </w:r>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Fifty years later, in 1920, the Constitution was amended again, with the </w:t>
      </w:r>
      <w:hyperlink r:id="rId35" w:tooltip="Nineteenth Amendment to the United States Constitution" w:history="1">
        <w:r w:rsidRPr="002477EA">
          <w:rPr>
            <w:rFonts w:ascii="Times New Roman" w:hAnsi="Times New Roman"/>
            <w:sz w:val="24"/>
            <w:szCs w:val="24"/>
          </w:rPr>
          <w:t>Nineteenth Amendment</w:t>
        </w:r>
      </w:hyperlink>
      <w:r w:rsidRPr="002477EA">
        <w:rPr>
          <w:rFonts w:ascii="Times New Roman" w:hAnsi="Times New Roman"/>
          <w:sz w:val="24"/>
          <w:szCs w:val="24"/>
        </w:rPr>
        <w:t> to definitively prohibit discrimination against women's suffrage.</w:t>
      </w:r>
    </w:p>
    <w:p w:rsidR="007526A8" w:rsidRPr="002477EA" w:rsidRDefault="007526A8" w:rsidP="007526A8">
      <w:pPr>
        <w:shd w:val="clear" w:color="auto" w:fill="FFFFFF"/>
        <w:spacing w:before="120" w:after="120" w:line="360" w:lineRule="auto"/>
        <w:jc w:val="both"/>
        <w:rPr>
          <w:rFonts w:ascii="Times New Roman" w:hAnsi="Times New Roman"/>
          <w:sz w:val="24"/>
          <w:szCs w:val="24"/>
        </w:rPr>
      </w:pPr>
      <w:r w:rsidRPr="002477EA">
        <w:rPr>
          <w:rFonts w:ascii="Times New Roman" w:hAnsi="Times New Roman"/>
          <w:sz w:val="24"/>
          <w:szCs w:val="24"/>
        </w:rPr>
        <w:t>In the 1970s, the Burger Court made a series of rulings clarifying that discrimination against women in the status of being Persons violated the Constitution and acknowledged that previous court rulings to the contrary had been </w:t>
      </w:r>
      <w:hyperlink r:id="rId36" w:tooltip="Sui generis" w:history="1">
        <w:r w:rsidRPr="002477EA">
          <w:rPr>
            <w:rFonts w:ascii="Times New Roman" w:hAnsi="Times New Roman"/>
            <w:sz w:val="24"/>
            <w:szCs w:val="24"/>
          </w:rPr>
          <w:t>Sui generis</w:t>
        </w:r>
      </w:hyperlink>
      <w:r w:rsidRPr="002477EA">
        <w:rPr>
          <w:rFonts w:ascii="Times New Roman" w:hAnsi="Times New Roman"/>
          <w:sz w:val="24"/>
          <w:szCs w:val="24"/>
        </w:rPr>
        <w:t> and an abuse of power. The most often cited of these is </w:t>
      </w:r>
      <w:hyperlink r:id="rId37" w:tooltip="Reed v. Reed" w:history="1">
        <w:r w:rsidRPr="002477EA">
          <w:rPr>
            <w:rFonts w:ascii="Times New Roman" w:hAnsi="Times New Roman"/>
            <w:sz w:val="24"/>
            <w:szCs w:val="24"/>
          </w:rPr>
          <w:t>Reed v. Reed</w:t>
        </w:r>
      </w:hyperlink>
      <w:r w:rsidRPr="002477EA">
        <w:rPr>
          <w:rFonts w:ascii="Times New Roman" w:hAnsi="Times New Roman"/>
          <w:sz w:val="24"/>
          <w:szCs w:val="24"/>
        </w:rPr>
        <w:t>, which held that any discrimination against either sex in the rights associated with Person status must meet a strict scrutiny standard.</w:t>
      </w:r>
    </w:p>
    <w:p w:rsidR="007526A8" w:rsidRPr="002477EA" w:rsidRDefault="007526A8" w:rsidP="007526A8">
      <w:pPr>
        <w:shd w:val="clear" w:color="auto" w:fill="FFFFFF"/>
        <w:spacing w:before="120" w:after="120" w:line="360" w:lineRule="auto"/>
        <w:jc w:val="both"/>
        <w:rPr>
          <w:rFonts w:ascii="Times New Roman" w:hAnsi="Times New Roman"/>
          <w:color w:val="000000" w:themeColor="text1"/>
          <w:sz w:val="24"/>
          <w:szCs w:val="24"/>
        </w:rPr>
      </w:pPr>
      <w:r w:rsidRPr="002477EA">
        <w:rPr>
          <w:rFonts w:ascii="Times New Roman" w:hAnsi="Times New Roman"/>
          <w:color w:val="252525"/>
          <w:sz w:val="24"/>
          <w:szCs w:val="24"/>
        </w:rPr>
        <w:lastRenderedPageBreak/>
        <w:t xml:space="preserve">The </w:t>
      </w:r>
      <w:r w:rsidRPr="002477EA">
        <w:rPr>
          <w:rFonts w:ascii="Times New Roman" w:hAnsi="Times New Roman"/>
          <w:color w:val="000000" w:themeColor="text1"/>
          <w:sz w:val="24"/>
          <w:szCs w:val="24"/>
        </w:rPr>
        <w:t>1970s also saw the adoption of the </w:t>
      </w:r>
      <w:hyperlink r:id="rId38" w:tooltip="Twenty-sixth Amendment to the United States Constitution" w:history="1">
        <w:r w:rsidRPr="002477EA">
          <w:rPr>
            <w:rFonts w:ascii="Times New Roman" w:hAnsi="Times New Roman"/>
            <w:color w:val="000000" w:themeColor="text1"/>
            <w:sz w:val="24"/>
            <w:szCs w:val="24"/>
          </w:rPr>
          <w:t>Twenty-seventh Amendment</w:t>
        </w:r>
      </w:hyperlink>
      <w:r w:rsidRPr="002477EA">
        <w:rPr>
          <w:rFonts w:ascii="Times New Roman" w:hAnsi="Times New Roman"/>
          <w:color w:val="000000" w:themeColor="text1"/>
          <w:sz w:val="24"/>
          <w:szCs w:val="24"/>
        </w:rPr>
        <w:t>, which prohibited discrimination on the basis of age, for Persons 18 years old and over, in voting. Other attempts to address the developmental distinction between children and adults in Person status and rights have been addressed mostly by the Supreme Court, with the Court recognizing in 2012, in </w:t>
      </w:r>
      <w:hyperlink r:id="rId39" w:tooltip="Miller v. Alabama" w:history="1">
        <w:r w:rsidRPr="002477EA">
          <w:rPr>
            <w:rFonts w:ascii="Times New Roman" w:hAnsi="Times New Roman"/>
            <w:color w:val="000000" w:themeColor="text1"/>
            <w:sz w:val="24"/>
            <w:szCs w:val="24"/>
          </w:rPr>
          <w:t>Miller v. Alabama</w:t>
        </w:r>
      </w:hyperlink>
      <w:r w:rsidRPr="002477EA">
        <w:rPr>
          <w:rFonts w:ascii="Times New Roman" w:hAnsi="Times New Roman"/>
          <w:color w:val="000000" w:themeColor="text1"/>
          <w:sz w:val="24"/>
          <w:szCs w:val="24"/>
        </w:rPr>
        <w:t> a political and biological principle that children are different from adults</w:t>
      </w:r>
      <w:r w:rsidRPr="002477EA">
        <w:rPr>
          <w:rStyle w:val="FootnoteReference"/>
          <w:rFonts w:ascii="Times New Roman" w:hAnsi="Times New Roman"/>
          <w:color w:val="000000" w:themeColor="text1"/>
          <w:sz w:val="24"/>
          <w:szCs w:val="24"/>
        </w:rPr>
        <w:footnoteReference w:id="28"/>
      </w:r>
      <w:r w:rsidRPr="002477EA">
        <w:rPr>
          <w:rFonts w:ascii="Times New Roman" w:hAnsi="Times New Roman"/>
          <w:color w:val="000000" w:themeColor="text1"/>
          <w:sz w:val="24"/>
          <w:szCs w:val="24"/>
        </w:rPr>
        <w:t>.</w:t>
      </w:r>
    </w:p>
    <w:p w:rsidR="007526A8" w:rsidRPr="002477EA" w:rsidRDefault="007526A8" w:rsidP="007526A8">
      <w:pPr>
        <w:shd w:val="clear" w:color="auto" w:fill="FFFFFF"/>
        <w:spacing w:before="120" w:after="120" w:line="360" w:lineRule="auto"/>
        <w:jc w:val="both"/>
        <w:rPr>
          <w:rFonts w:ascii="Times New Roman" w:hAnsi="Times New Roman"/>
          <w:color w:val="000000" w:themeColor="text1"/>
          <w:sz w:val="24"/>
          <w:szCs w:val="24"/>
        </w:rPr>
      </w:pPr>
      <w:r w:rsidRPr="002477EA">
        <w:rPr>
          <w:rFonts w:ascii="Times New Roman" w:hAnsi="Times New Roman"/>
          <w:color w:val="000000" w:themeColor="text1"/>
          <w:sz w:val="24"/>
          <w:szCs w:val="24"/>
        </w:rPr>
        <w:t>In the 20th century, the United States took a role in the creation of the </w:t>
      </w:r>
      <w:hyperlink r:id="rId40" w:tooltip="United Nations" w:history="1">
        <w:r w:rsidRPr="002477EA">
          <w:rPr>
            <w:rFonts w:ascii="Times New Roman" w:hAnsi="Times New Roman"/>
            <w:color w:val="000000" w:themeColor="text1"/>
            <w:sz w:val="24"/>
            <w:szCs w:val="24"/>
          </w:rPr>
          <w:t>United Nations</w:t>
        </w:r>
      </w:hyperlink>
      <w:r w:rsidRPr="002477EA">
        <w:rPr>
          <w:rFonts w:ascii="Times New Roman" w:hAnsi="Times New Roman"/>
          <w:color w:val="000000" w:themeColor="text1"/>
          <w:sz w:val="24"/>
          <w:szCs w:val="24"/>
        </w:rPr>
        <w:t> and in the drafting of the Universal Declaration of Human Rights</w:t>
      </w:r>
      <w:r w:rsidRPr="002477EA">
        <w:rPr>
          <w:rStyle w:val="FootnoteReference"/>
          <w:rFonts w:ascii="Times New Roman" w:hAnsi="Times New Roman"/>
          <w:color w:val="000000" w:themeColor="text1"/>
          <w:sz w:val="24"/>
          <w:szCs w:val="24"/>
        </w:rPr>
        <w:footnoteReference w:id="29"/>
      </w:r>
      <w:r w:rsidRPr="002477EA">
        <w:rPr>
          <w:rFonts w:ascii="Times New Roman" w:hAnsi="Times New Roman"/>
          <w:color w:val="000000" w:themeColor="text1"/>
          <w:sz w:val="24"/>
          <w:szCs w:val="24"/>
          <w:u w:val="single"/>
        </w:rPr>
        <w:t>.</w:t>
      </w:r>
      <w:r w:rsidRPr="002477EA">
        <w:rPr>
          <w:rFonts w:ascii="Times New Roman" w:hAnsi="Times New Roman"/>
          <w:color w:val="000000" w:themeColor="text1"/>
          <w:sz w:val="24"/>
          <w:szCs w:val="24"/>
        </w:rPr>
        <w:t> The Universal Declaration of Human Rights Drafting Committee was chaired by former </w:t>
      </w:r>
      <w:hyperlink r:id="rId41" w:tooltip="First Lady" w:history="1">
        <w:r w:rsidRPr="002477EA">
          <w:rPr>
            <w:rFonts w:ascii="Times New Roman" w:hAnsi="Times New Roman"/>
            <w:color w:val="000000" w:themeColor="text1"/>
            <w:sz w:val="24"/>
            <w:szCs w:val="24"/>
          </w:rPr>
          <w:t>First Lady</w:t>
        </w:r>
      </w:hyperlink>
      <w:r w:rsidRPr="002477EA">
        <w:rPr>
          <w:rFonts w:ascii="Times New Roman" w:hAnsi="Times New Roman"/>
          <w:color w:val="000000" w:themeColor="text1"/>
          <w:sz w:val="24"/>
          <w:szCs w:val="24"/>
        </w:rPr>
        <w:t> </w:t>
      </w:r>
      <w:hyperlink r:id="rId42" w:tooltip="Eleanor Roosevelt" w:history="1">
        <w:r w:rsidRPr="002477EA">
          <w:rPr>
            <w:rFonts w:ascii="Times New Roman" w:hAnsi="Times New Roman"/>
            <w:color w:val="000000" w:themeColor="text1"/>
            <w:sz w:val="24"/>
            <w:szCs w:val="24"/>
          </w:rPr>
          <w:t>Eleanor Roosevelt</w:t>
        </w:r>
      </w:hyperlink>
      <w:r w:rsidRPr="002477EA">
        <w:rPr>
          <w:rFonts w:ascii="Times New Roman" w:hAnsi="Times New Roman"/>
          <w:color w:val="000000" w:themeColor="text1"/>
          <w:sz w:val="24"/>
          <w:szCs w:val="24"/>
        </w:rPr>
        <w:t>, who was known for her human rights advocacy</w:t>
      </w:r>
      <w:r w:rsidRPr="002477EA">
        <w:rPr>
          <w:rStyle w:val="FootnoteReference"/>
          <w:rFonts w:ascii="Times New Roman" w:hAnsi="Times New Roman"/>
          <w:color w:val="000000" w:themeColor="text1"/>
          <w:sz w:val="24"/>
          <w:szCs w:val="24"/>
        </w:rPr>
        <w:footnoteReference w:id="30"/>
      </w:r>
      <w:r w:rsidRPr="002477EA">
        <w:rPr>
          <w:rFonts w:ascii="Times New Roman" w:hAnsi="Times New Roman"/>
          <w:color w:val="000000" w:themeColor="text1"/>
          <w:sz w:val="24"/>
          <w:szCs w:val="24"/>
        </w:rPr>
        <w:t>. Even as such, the United States is in violation of the Declaration, in as much that "everyone has the right to leave any country" because the government may prevent the entry and exit of anyone from the United States for foreign policy, national security, or </w:t>
      </w:r>
      <w:hyperlink r:id="rId43" w:tooltip="Child support" w:history="1">
        <w:r w:rsidRPr="002477EA">
          <w:rPr>
            <w:rFonts w:ascii="Times New Roman" w:hAnsi="Times New Roman"/>
            <w:color w:val="000000" w:themeColor="text1"/>
            <w:sz w:val="24"/>
            <w:szCs w:val="24"/>
          </w:rPr>
          <w:t>child support</w:t>
        </w:r>
      </w:hyperlink>
      <w:r w:rsidRPr="002477EA">
        <w:rPr>
          <w:rFonts w:ascii="Times New Roman" w:hAnsi="Times New Roman"/>
          <w:color w:val="000000" w:themeColor="text1"/>
          <w:sz w:val="24"/>
          <w:szCs w:val="24"/>
        </w:rPr>
        <w:t> </w:t>
      </w:r>
      <w:hyperlink r:id="rId44" w:tooltip="Arrears" w:history="1">
        <w:r w:rsidRPr="002477EA">
          <w:rPr>
            <w:rFonts w:ascii="Times New Roman" w:hAnsi="Times New Roman"/>
            <w:color w:val="000000" w:themeColor="text1"/>
            <w:sz w:val="24"/>
            <w:szCs w:val="24"/>
          </w:rPr>
          <w:t>rear age</w:t>
        </w:r>
      </w:hyperlink>
      <w:r w:rsidRPr="002477EA">
        <w:rPr>
          <w:rFonts w:ascii="Times New Roman" w:hAnsi="Times New Roman"/>
          <w:color w:val="000000" w:themeColor="text1"/>
          <w:sz w:val="24"/>
          <w:szCs w:val="24"/>
        </w:rPr>
        <w:t> reasons by revoking their passport.</w:t>
      </w:r>
      <w:hyperlink r:id="rId45" w:anchor="cite_note-30" w:history="1">
        <w:r w:rsidRPr="002477EA">
          <w:rPr>
            <w:rFonts w:ascii="Times New Roman" w:hAnsi="Times New Roman"/>
            <w:color w:val="000000" w:themeColor="text1"/>
            <w:sz w:val="24"/>
            <w:szCs w:val="24"/>
            <w:u w:val="single"/>
            <w:vertAlign w:val="superscript"/>
          </w:rPr>
          <w:t>[30]</w:t>
        </w:r>
      </w:hyperlink>
      <w:r w:rsidRPr="002477EA">
        <w:rPr>
          <w:rFonts w:ascii="Times New Roman" w:hAnsi="Times New Roman"/>
          <w:color w:val="000000" w:themeColor="text1"/>
          <w:sz w:val="24"/>
          <w:szCs w:val="24"/>
        </w:rPr>
        <w:t> The United States is also in violation of the United Nations' human rights </w:t>
      </w:r>
      <w:hyperlink r:id="rId46" w:tooltip="Convention on the Rights of the Child" w:history="1">
        <w:r w:rsidRPr="002477EA">
          <w:rPr>
            <w:rFonts w:ascii="Times New Roman" w:hAnsi="Times New Roman"/>
            <w:color w:val="000000" w:themeColor="text1"/>
            <w:sz w:val="24"/>
            <w:szCs w:val="24"/>
          </w:rPr>
          <w:t>Convention on the Rights of the Child</w:t>
        </w:r>
      </w:hyperlink>
      <w:r w:rsidRPr="002477EA">
        <w:rPr>
          <w:rFonts w:ascii="Times New Roman" w:hAnsi="Times New Roman"/>
          <w:color w:val="000000" w:themeColor="text1"/>
          <w:sz w:val="24"/>
          <w:szCs w:val="24"/>
        </w:rPr>
        <w:t> which requires both parents to have a relationship with the child. Conflict between the human rights of the child and those of a mother or father who wishes to leave the country without paying child support or doing the personal work of child care for his child can be considered to be a question of </w:t>
      </w:r>
      <w:hyperlink r:id="rId47" w:tooltip="Negative and positive rights" w:history="1">
        <w:r w:rsidRPr="002477EA">
          <w:rPr>
            <w:rFonts w:ascii="Times New Roman" w:hAnsi="Times New Roman"/>
            <w:color w:val="000000" w:themeColor="text1"/>
            <w:sz w:val="24"/>
            <w:szCs w:val="24"/>
          </w:rPr>
          <w:t>negative and positive rights</w:t>
        </w:r>
      </w:hyperlink>
      <w:r w:rsidRPr="002477EA">
        <w:rPr>
          <w:rStyle w:val="FootnoteReference"/>
          <w:rFonts w:ascii="Times New Roman" w:hAnsi="Times New Roman"/>
          <w:sz w:val="24"/>
          <w:szCs w:val="24"/>
        </w:rPr>
        <w:footnoteReference w:id="31"/>
      </w:r>
      <w:r w:rsidRPr="002477EA">
        <w:rPr>
          <w:rFonts w:ascii="Times New Roman" w:hAnsi="Times New Roman"/>
          <w:color w:val="000000" w:themeColor="text1"/>
          <w:sz w:val="24"/>
          <w:szCs w:val="24"/>
        </w:rPr>
        <w:t>.</w:t>
      </w:r>
    </w:p>
    <w:p w:rsidR="007526A8" w:rsidRPr="002477EA" w:rsidRDefault="007526A8" w:rsidP="007526A8">
      <w:pPr>
        <w:shd w:val="clear" w:color="auto" w:fill="FFFFFF"/>
        <w:spacing w:before="120" w:after="120"/>
        <w:jc w:val="both"/>
        <w:rPr>
          <w:rFonts w:ascii="Times New Roman" w:hAnsi="Times New Roman"/>
          <w:b/>
          <w:sz w:val="24"/>
          <w:szCs w:val="24"/>
          <w:vertAlign w:val="superscript"/>
        </w:rPr>
      </w:pPr>
      <w:r w:rsidRPr="002477EA">
        <w:rPr>
          <w:rFonts w:ascii="Times New Roman" w:hAnsi="Times New Roman"/>
          <w:b/>
          <w:sz w:val="24"/>
          <w:szCs w:val="24"/>
        </w:rPr>
        <w:t>5.2 Human Rights in Asia</w:t>
      </w:r>
      <w:r w:rsidRPr="002477EA">
        <w:rPr>
          <w:rFonts w:ascii="Times New Roman" w:hAnsi="Times New Roman"/>
          <w:b/>
          <w:sz w:val="24"/>
          <w:szCs w:val="24"/>
          <w:vertAlign w:val="superscript"/>
        </w:rPr>
        <w:t xml:space="preserve"> </w:t>
      </w:r>
    </w:p>
    <w:p w:rsidR="007526A8" w:rsidRPr="0020367C" w:rsidRDefault="007526A8" w:rsidP="007526A8">
      <w:pPr>
        <w:pStyle w:val="NormalWeb"/>
        <w:shd w:val="clear" w:color="auto" w:fill="FFFFFF"/>
        <w:spacing w:before="120" w:beforeAutospacing="0" w:after="120" w:afterAutospacing="0" w:line="360" w:lineRule="auto"/>
        <w:jc w:val="both"/>
      </w:pPr>
      <w:r w:rsidRPr="0020367C">
        <w:t>The</w:t>
      </w:r>
      <w:r w:rsidRPr="0020367C">
        <w:rPr>
          <w:rStyle w:val="apple-converted-space"/>
        </w:rPr>
        <w:t> </w:t>
      </w:r>
      <w:r w:rsidRPr="0020367C">
        <w:rPr>
          <w:bCs/>
        </w:rPr>
        <w:t>Asian Human Rights Commission</w:t>
      </w:r>
      <w:r w:rsidRPr="0020367C">
        <w:rPr>
          <w:rStyle w:val="apple-converted-space"/>
        </w:rPr>
        <w:t> </w:t>
      </w:r>
      <w:r w:rsidRPr="0020367C">
        <w:t>(AHRC) is an independent, non-governmental body, which seeks to promote greater awareness and realization of</w:t>
      </w:r>
      <w:r w:rsidRPr="0020367C">
        <w:rPr>
          <w:rStyle w:val="apple-converted-space"/>
        </w:rPr>
        <w:t> </w:t>
      </w:r>
      <w:r w:rsidRPr="0020367C">
        <w:t>human right</w:t>
      </w:r>
      <w:r w:rsidRPr="0020367C">
        <w:rPr>
          <w:rStyle w:val="FootnoteReference"/>
        </w:rPr>
        <w:footnoteReference w:id="32"/>
      </w:r>
      <w:r w:rsidRPr="0020367C">
        <w:t xml:space="preserve"> </w:t>
      </w:r>
      <w:r w:rsidRPr="0020367C">
        <w:rPr>
          <w:rStyle w:val="apple-converted-space"/>
        </w:rPr>
        <w:t> </w:t>
      </w:r>
      <w:r w:rsidRPr="0020367C">
        <w:t>in the Asian region, and to mobilize Asian and international public opinion to obtain relief and redress for the victims of human rights violations. It was founded in 1986 by a prominent group of jurists and human rights activists in</w:t>
      </w:r>
      <w:r w:rsidRPr="0020367C">
        <w:rPr>
          <w:rStyle w:val="apple-converted-space"/>
        </w:rPr>
        <w:t> </w:t>
      </w:r>
      <w:hyperlink r:id="rId48" w:tooltip="Asia" w:history="1">
        <w:r w:rsidRPr="0020367C">
          <w:rPr>
            <w:rStyle w:val="Hyperlink"/>
            <w:u w:val="none"/>
          </w:rPr>
          <w:t>Asia</w:t>
        </w:r>
      </w:hyperlink>
      <w:r w:rsidRPr="0020367C">
        <w:rPr>
          <w:rStyle w:val="apple-converted-space"/>
        </w:rPr>
        <w:t> </w:t>
      </w:r>
      <w:r w:rsidRPr="0020367C">
        <w:t>and serves to promote</w:t>
      </w:r>
      <w:r w:rsidRPr="0020367C">
        <w:rPr>
          <w:rStyle w:val="apple-converted-space"/>
        </w:rPr>
        <w:t> </w:t>
      </w:r>
      <w:r w:rsidRPr="0020367C">
        <w:t>civil and political rights, as well as economic, social and cultural rights</w:t>
      </w:r>
      <w:r w:rsidRPr="0020367C">
        <w:rPr>
          <w:rStyle w:val="FootnoteReference"/>
        </w:rPr>
        <w:footnoteReference w:id="33"/>
      </w:r>
      <w:r w:rsidRPr="0020367C">
        <w:t>.</w:t>
      </w:r>
    </w:p>
    <w:p w:rsidR="007526A8" w:rsidRPr="0020367C" w:rsidRDefault="007526A8" w:rsidP="007526A8">
      <w:pPr>
        <w:pStyle w:val="NormalWeb"/>
        <w:shd w:val="clear" w:color="auto" w:fill="FFFFFF"/>
        <w:spacing w:before="120" w:beforeAutospacing="0" w:after="120" w:afterAutospacing="0" w:line="360" w:lineRule="auto"/>
        <w:jc w:val="both"/>
      </w:pPr>
      <w:r w:rsidRPr="002477EA">
        <w:lastRenderedPageBreak/>
        <w:t>AHRC endeavours to achieve the following objectives stated in the Asian Charter "Many Asian states have guarantees of human rights in their constitutions, and many of them have ratified international instruments on human rights. However, there continues to be a wide gap between rights enshrined in these documents and the abject reality that denies people their rights. Asian states mus</w:t>
      </w:r>
      <w:r w:rsidRPr="0020367C">
        <w:t>t take urgent action to implement the human rights of their citizens and residents."</w:t>
      </w:r>
    </w:p>
    <w:p w:rsidR="007526A8" w:rsidRPr="0020367C" w:rsidRDefault="007526A8" w:rsidP="007526A8">
      <w:pPr>
        <w:pStyle w:val="NormalWeb"/>
        <w:shd w:val="clear" w:color="auto" w:fill="FFFFFF"/>
        <w:spacing w:before="120" w:beforeAutospacing="0" w:after="120" w:afterAutospacing="0" w:line="360" w:lineRule="auto"/>
        <w:jc w:val="both"/>
      </w:pPr>
      <w:r w:rsidRPr="0020367C">
        <w:t>Its sister organization, the</w:t>
      </w:r>
      <w:r w:rsidRPr="0020367C">
        <w:rPr>
          <w:rStyle w:val="apple-converted-space"/>
        </w:rPr>
        <w:t> </w:t>
      </w:r>
      <w:r w:rsidRPr="0020367C">
        <w:rPr>
          <w:bCs/>
        </w:rPr>
        <w:t>Asian Legal Resource Centre</w:t>
      </w:r>
      <w:r w:rsidRPr="0020367C">
        <w:rPr>
          <w:rStyle w:val="apple-converted-space"/>
        </w:rPr>
        <w:t> </w:t>
      </w:r>
      <w:r w:rsidRPr="0020367C">
        <w:t>(ALRC) holds General</w:t>
      </w:r>
      <w:r w:rsidRPr="0020367C">
        <w:rPr>
          <w:rStyle w:val="apple-converted-space"/>
        </w:rPr>
        <w:t> </w:t>
      </w:r>
      <w:hyperlink r:id="rId49" w:tooltip="Consultative Status" w:history="1">
        <w:r w:rsidRPr="0020367C">
          <w:rPr>
            <w:rStyle w:val="Hyperlink"/>
            <w:color w:val="auto"/>
            <w:u w:val="none"/>
          </w:rPr>
          <w:t>Consultative Status</w:t>
        </w:r>
      </w:hyperlink>
      <w:r w:rsidRPr="0020367C">
        <w:rPr>
          <w:rStyle w:val="FootnoteReference"/>
        </w:rPr>
        <w:footnoteReference w:id="34"/>
      </w:r>
      <w:r w:rsidRPr="0020367C">
        <w:rPr>
          <w:rStyle w:val="apple-converted-space"/>
        </w:rPr>
        <w:t> </w:t>
      </w:r>
      <w:r w:rsidRPr="0020367C">
        <w:t>with the</w:t>
      </w:r>
      <w:r w:rsidRPr="0020367C">
        <w:rPr>
          <w:rStyle w:val="apple-converted-space"/>
        </w:rPr>
        <w:t> </w:t>
      </w:r>
      <w:hyperlink r:id="rId50" w:tooltip="United Nations" w:history="1">
        <w:r w:rsidRPr="0020367C">
          <w:rPr>
            <w:rStyle w:val="Hyperlink"/>
            <w:color w:val="auto"/>
            <w:u w:val="none"/>
          </w:rPr>
          <w:t>United Nations</w:t>
        </w:r>
      </w:hyperlink>
      <w:r w:rsidRPr="0020367C">
        <w:rPr>
          <w:rStyle w:val="apple-converted-space"/>
        </w:rPr>
        <w:t> </w:t>
      </w:r>
      <w:r w:rsidRPr="0020367C">
        <w:t>Economic and Social Council (ECOSOC). The AHRC and ALRC are both based in</w:t>
      </w:r>
      <w:r w:rsidRPr="0020367C">
        <w:rPr>
          <w:rStyle w:val="apple-converted-space"/>
        </w:rPr>
        <w:t> </w:t>
      </w:r>
      <w:hyperlink r:id="rId51" w:tooltip="Hong Kong" w:history="1">
        <w:r w:rsidRPr="0020367C">
          <w:rPr>
            <w:rStyle w:val="Hyperlink"/>
            <w:color w:val="auto"/>
            <w:u w:val="none"/>
          </w:rPr>
          <w:t>Hong Kong</w:t>
        </w:r>
      </w:hyperlink>
      <w:r w:rsidRPr="0020367C">
        <w:rPr>
          <w:rStyle w:val="FootnoteReference"/>
        </w:rPr>
        <w:footnoteReference w:id="35"/>
      </w:r>
      <w:r w:rsidRPr="0020367C">
        <w:t>.</w:t>
      </w:r>
    </w:p>
    <w:p w:rsidR="007526A8" w:rsidRPr="0020367C" w:rsidRDefault="007526A8" w:rsidP="007526A8">
      <w:pPr>
        <w:pStyle w:val="NormalWeb"/>
        <w:shd w:val="clear" w:color="auto" w:fill="FFFFFF"/>
        <w:spacing w:before="120" w:beforeAutospacing="0" w:after="120" w:afterAutospacing="0" w:line="360" w:lineRule="auto"/>
        <w:jc w:val="both"/>
      </w:pPr>
      <w:r w:rsidRPr="0020367C">
        <w:t>On the eve of the</w:t>
      </w:r>
      <w:r w:rsidRPr="0020367C">
        <w:rPr>
          <w:rStyle w:val="apple-converted-space"/>
        </w:rPr>
        <w:t> </w:t>
      </w:r>
      <w:hyperlink r:id="rId52" w:tooltip="International Day of the Disappeared" w:history="1">
        <w:r w:rsidRPr="0020367C">
          <w:rPr>
            <w:rStyle w:val="Hyperlink"/>
            <w:color w:val="auto"/>
            <w:u w:val="none"/>
          </w:rPr>
          <w:t>International Day of the Disappeared</w:t>
        </w:r>
      </w:hyperlink>
      <w:r w:rsidRPr="0020367C">
        <w:t>, AHRC ranked the</w:t>
      </w:r>
      <w:r w:rsidRPr="0020367C">
        <w:rPr>
          <w:rStyle w:val="apple-converted-space"/>
        </w:rPr>
        <w:t> </w:t>
      </w:r>
      <w:hyperlink r:id="rId53" w:tooltip="Philippines" w:history="1">
        <w:r w:rsidRPr="0020367C">
          <w:rPr>
            <w:rStyle w:val="Hyperlink"/>
            <w:color w:val="auto"/>
            <w:u w:val="none"/>
          </w:rPr>
          <w:t>Philippines</w:t>
        </w:r>
      </w:hyperlink>
      <w:r w:rsidRPr="0020367C">
        <w:rPr>
          <w:rStyle w:val="apple-converted-space"/>
        </w:rPr>
        <w:t> </w:t>
      </w:r>
      <w:r w:rsidRPr="0020367C">
        <w:t>among the top eight countries in</w:t>
      </w:r>
      <w:r w:rsidRPr="0020367C">
        <w:rPr>
          <w:rStyle w:val="apple-converted-space"/>
        </w:rPr>
        <w:t> </w:t>
      </w:r>
      <w:hyperlink r:id="rId54" w:tooltip="Asia" w:history="1">
        <w:r w:rsidRPr="0020367C">
          <w:rPr>
            <w:rStyle w:val="Hyperlink"/>
            <w:color w:val="auto"/>
            <w:u w:val="none"/>
          </w:rPr>
          <w:t>Asia</w:t>
        </w:r>
      </w:hyperlink>
      <w:r w:rsidRPr="0020367C">
        <w:rPr>
          <w:rStyle w:val="apple-converted-space"/>
        </w:rPr>
        <w:t> </w:t>
      </w:r>
      <w:r w:rsidRPr="0020367C">
        <w:t>where</w:t>
      </w:r>
      <w:r w:rsidRPr="0020367C">
        <w:rPr>
          <w:rStyle w:val="apple-converted-space"/>
        </w:rPr>
        <w:t> </w:t>
      </w:r>
      <w:hyperlink r:id="rId55" w:tooltip="Forced disappearances" w:history="1">
        <w:r w:rsidRPr="0020367C">
          <w:rPr>
            <w:rStyle w:val="Hyperlink"/>
            <w:color w:val="auto"/>
            <w:u w:val="none"/>
          </w:rPr>
          <w:t>forced disappearances</w:t>
        </w:r>
      </w:hyperlink>
      <w:r w:rsidRPr="0020367C">
        <w:t xml:space="preserve"> </w:t>
      </w:r>
      <w:r w:rsidRPr="0020367C">
        <w:rPr>
          <w:rStyle w:val="apple-converted-space"/>
        </w:rPr>
        <w:t> </w:t>
      </w:r>
      <w:r w:rsidRPr="0020367C">
        <w:t>of</w:t>
      </w:r>
      <w:r w:rsidRPr="0020367C">
        <w:rPr>
          <w:rStyle w:val="apple-converted-space"/>
        </w:rPr>
        <w:t xml:space="preserve">  </w:t>
      </w:r>
      <w:hyperlink r:id="rId56" w:tooltip="Activists" w:history="1">
        <w:r w:rsidRPr="0020367C">
          <w:rPr>
            <w:rStyle w:val="Hyperlink"/>
            <w:color w:val="auto"/>
            <w:u w:val="none"/>
          </w:rPr>
          <w:t>activists</w:t>
        </w:r>
      </w:hyperlink>
      <w:r w:rsidRPr="0020367C">
        <w:rPr>
          <w:rStyle w:val="apple-converted-space"/>
        </w:rPr>
        <w:t xml:space="preserve">  </w:t>
      </w:r>
      <w:r w:rsidRPr="0020367C">
        <w:t>are not just rampant but are carried out with impunity.</w:t>
      </w:r>
      <w:r w:rsidRPr="0020367C">
        <w:rPr>
          <w:rStyle w:val="apple-converted-space"/>
        </w:rPr>
        <w:t> </w:t>
      </w:r>
      <w:r w:rsidRPr="0020367C">
        <w:t>Sri Lanka</w:t>
      </w:r>
      <w:r w:rsidRPr="0020367C">
        <w:rPr>
          <w:rStyle w:val="apple-converted-space"/>
        </w:rPr>
        <w:t> </w:t>
      </w:r>
      <w:r w:rsidRPr="0020367C">
        <w:t>heads the list (statement posted on its website (www.ahrchk.net). The activists took part in the recent Human Rights School Session of the AHRC for 2007. The AHRC listed the other countries where forced disappearances take place with impunity:</w:t>
      </w:r>
      <w:r w:rsidRPr="0020367C">
        <w:rPr>
          <w:rStyle w:val="apple-converted-space"/>
        </w:rPr>
        <w:t> </w:t>
      </w:r>
      <w:hyperlink r:id="rId57" w:tooltip="Pakistan" w:history="1">
        <w:r w:rsidRPr="0020367C">
          <w:rPr>
            <w:rStyle w:val="Hyperlink"/>
            <w:color w:val="auto"/>
            <w:u w:val="none"/>
          </w:rPr>
          <w:t>Pakistan</w:t>
        </w:r>
      </w:hyperlink>
      <w:r w:rsidRPr="0020367C">
        <w:t>,</w:t>
      </w:r>
      <w:r w:rsidRPr="0020367C">
        <w:rPr>
          <w:rStyle w:val="apple-converted-space"/>
        </w:rPr>
        <w:t> </w:t>
      </w:r>
      <w:hyperlink r:id="rId58" w:tooltip="Indonesia" w:history="1">
        <w:r w:rsidRPr="0020367C">
          <w:rPr>
            <w:rStyle w:val="Hyperlink"/>
            <w:color w:val="auto"/>
            <w:u w:val="none"/>
          </w:rPr>
          <w:t>Indonesia</w:t>
        </w:r>
      </w:hyperlink>
      <w:r w:rsidRPr="0020367C">
        <w:t>,</w:t>
      </w:r>
      <w:r w:rsidRPr="0020367C">
        <w:rPr>
          <w:rStyle w:val="apple-converted-space"/>
        </w:rPr>
        <w:t> </w:t>
      </w:r>
      <w:hyperlink r:id="rId59" w:tooltip="Bangladesh" w:history="1">
        <w:r w:rsidRPr="0020367C">
          <w:rPr>
            <w:rStyle w:val="Hyperlink"/>
            <w:color w:val="auto"/>
            <w:u w:val="none"/>
          </w:rPr>
          <w:t>Bangladesh</w:t>
        </w:r>
      </w:hyperlink>
      <w:r w:rsidRPr="0020367C">
        <w:t>,</w:t>
      </w:r>
      <w:r w:rsidRPr="0020367C">
        <w:rPr>
          <w:rStyle w:val="apple-converted-space"/>
        </w:rPr>
        <w:t> </w:t>
      </w:r>
      <w:hyperlink r:id="rId60" w:tooltip="Nepal" w:history="1">
        <w:r w:rsidRPr="0020367C">
          <w:rPr>
            <w:rStyle w:val="Hyperlink"/>
            <w:color w:val="auto"/>
            <w:u w:val="none"/>
          </w:rPr>
          <w:t>Nepal</w:t>
        </w:r>
      </w:hyperlink>
      <w:r w:rsidRPr="0020367C">
        <w:t>,</w:t>
      </w:r>
      <w:r w:rsidRPr="0020367C">
        <w:rPr>
          <w:rStyle w:val="apple-converted-space"/>
        </w:rPr>
        <w:t> </w:t>
      </w:r>
      <w:hyperlink r:id="rId61" w:tooltip="Thailand" w:history="1">
        <w:r w:rsidRPr="0020367C">
          <w:rPr>
            <w:rStyle w:val="Hyperlink"/>
            <w:color w:val="auto"/>
            <w:u w:val="none"/>
          </w:rPr>
          <w:t>Thailand</w:t>
        </w:r>
      </w:hyperlink>
      <w:r w:rsidRPr="0020367C">
        <w:t xml:space="preserve">, </w:t>
      </w:r>
      <w:hyperlink r:id="rId62" w:tooltip="Philippines" w:history="1">
        <w:r w:rsidRPr="0020367C">
          <w:rPr>
            <w:rStyle w:val="Hyperlink"/>
            <w:color w:val="auto"/>
            <w:u w:val="none"/>
          </w:rPr>
          <w:t>Philippines</w:t>
        </w:r>
      </w:hyperlink>
      <w:r w:rsidRPr="0020367C">
        <w:rPr>
          <w:rStyle w:val="apple-converted-space"/>
        </w:rPr>
        <w:t> </w:t>
      </w:r>
      <w:r w:rsidRPr="0020367C">
        <w:t>and parts of</w:t>
      </w:r>
      <w:r w:rsidRPr="0020367C">
        <w:rPr>
          <w:rStyle w:val="apple-converted-space"/>
        </w:rPr>
        <w:t> </w:t>
      </w:r>
      <w:hyperlink r:id="rId63" w:tooltip="India" w:history="1">
        <w:r w:rsidRPr="0020367C">
          <w:rPr>
            <w:rStyle w:val="Hyperlink"/>
            <w:color w:val="auto"/>
            <w:u w:val="none"/>
          </w:rPr>
          <w:t>India</w:t>
        </w:r>
      </w:hyperlink>
      <w:r w:rsidRPr="0020367C">
        <w:t>.</w:t>
      </w:r>
    </w:p>
    <w:p w:rsidR="007526A8" w:rsidRPr="0020367C" w:rsidRDefault="007526A8" w:rsidP="007526A8">
      <w:pPr>
        <w:pStyle w:val="NormalWeb"/>
        <w:shd w:val="clear" w:color="auto" w:fill="FFFFFF"/>
        <w:spacing w:before="120" w:beforeAutospacing="0" w:after="120" w:afterAutospacing="0" w:line="360" w:lineRule="auto"/>
        <w:jc w:val="both"/>
      </w:pPr>
      <w:r w:rsidRPr="0020367C">
        <w:t>Further, AHRC had evidence to show that</w:t>
      </w:r>
      <w:r w:rsidRPr="0020367C">
        <w:rPr>
          <w:rStyle w:val="apple-converted-space"/>
        </w:rPr>
        <w:t> </w:t>
      </w:r>
      <w:hyperlink r:id="rId64" w:tooltip="Myanmar" w:history="1">
        <w:r w:rsidRPr="0020367C">
          <w:rPr>
            <w:rStyle w:val="Hyperlink"/>
            <w:color w:val="auto"/>
            <w:u w:val="none"/>
          </w:rPr>
          <w:t>Myanmar</w:t>
        </w:r>
      </w:hyperlink>
      <w:r w:rsidRPr="0020367C">
        <w:rPr>
          <w:rStyle w:val="apple-converted-space"/>
        </w:rPr>
        <w:t> </w:t>
      </w:r>
      <w:hyperlink r:id="rId65" w:tooltip="Military dictatorship" w:history="1">
        <w:r w:rsidRPr="0020367C">
          <w:rPr>
            <w:rStyle w:val="Hyperlink"/>
            <w:color w:val="auto"/>
            <w:u w:val="none"/>
          </w:rPr>
          <w:t>junta</w:t>
        </w:r>
      </w:hyperlink>
      <w:r w:rsidRPr="0020367C">
        <w:rPr>
          <w:rStyle w:val="apple-converted-space"/>
        </w:rPr>
        <w:t> </w:t>
      </w:r>
      <w:r w:rsidRPr="0020367C">
        <w:t>uses broom-wielding gangs or Swan-ar Shin heavies not guns to crush dissent (fuel price protests).</w:t>
      </w:r>
      <w:r w:rsidRPr="0020367C">
        <w:rPr>
          <w:rStyle w:val="FootnoteReference"/>
        </w:rPr>
        <w:footnoteReference w:id="36"/>
      </w:r>
    </w:p>
    <w:p w:rsidR="007526A8" w:rsidRPr="0020367C" w:rsidRDefault="007526A8" w:rsidP="007526A8">
      <w:pPr>
        <w:pStyle w:val="NormalWeb"/>
        <w:shd w:val="clear" w:color="auto" w:fill="FFFFFF"/>
        <w:spacing w:before="120" w:beforeAutospacing="0" w:after="120" w:afterAutospacing="0" w:line="360" w:lineRule="auto"/>
        <w:jc w:val="both"/>
      </w:pPr>
      <w:r w:rsidRPr="0020367C">
        <w:t>On September 28, 2007, the Asian Human Rights Commission (AHRC) criticized the</w:t>
      </w:r>
      <w:r w:rsidRPr="0020367C">
        <w:rPr>
          <w:rStyle w:val="apple-converted-space"/>
        </w:rPr>
        <w:t> </w:t>
      </w:r>
      <w:hyperlink r:id="rId66" w:tooltip="Writ of Amparo and Habeas Data (Philippines)" w:history="1">
        <w:r w:rsidRPr="0020367C">
          <w:rPr>
            <w:rStyle w:val="Hyperlink"/>
            <w:color w:val="auto"/>
            <w:u w:val="none"/>
          </w:rPr>
          <w:t>Writ of  Amparo and Habeas Data (Philippines)</w:t>
        </w:r>
      </w:hyperlink>
      <w:r w:rsidRPr="0020367C">
        <w:rPr>
          <w:rStyle w:val="apple-converted-space"/>
        </w:rPr>
        <w:t> </w:t>
      </w:r>
      <w:r w:rsidRPr="0020367C">
        <w:t>for being insufficient: "T</w:t>
      </w:r>
      <w:r w:rsidRPr="0020367C">
        <w:rPr>
          <w:iCs/>
        </w:rPr>
        <w:t>hough it responds to practical areas it is still necessary that further action must be taken in addition to this. The</w:t>
      </w:r>
      <w:r w:rsidRPr="0020367C">
        <w:rPr>
          <w:rStyle w:val="apple-converted-space"/>
          <w:iCs/>
        </w:rPr>
        <w:t> </w:t>
      </w:r>
      <w:hyperlink r:id="rId67" w:tooltip="Legislative" w:history="1">
        <w:r w:rsidRPr="0020367C">
          <w:rPr>
            <w:rStyle w:val="Hyperlink"/>
            <w:iCs/>
            <w:color w:val="auto"/>
            <w:u w:val="none"/>
          </w:rPr>
          <w:t>legislative</w:t>
        </w:r>
      </w:hyperlink>
      <w:r w:rsidRPr="0020367C">
        <w:rPr>
          <w:rStyle w:val="apple-converted-space"/>
          <w:iCs/>
        </w:rPr>
        <w:t> </w:t>
      </w:r>
      <w:r w:rsidRPr="0020367C">
        <w:rPr>
          <w:iCs/>
        </w:rPr>
        <w:t>bodies,</w:t>
      </w:r>
      <w:r w:rsidRPr="0020367C">
        <w:rPr>
          <w:rStyle w:val="apple-converted-space"/>
          <w:iCs/>
        </w:rPr>
        <w:t> </w:t>
      </w:r>
      <w:hyperlink r:id="rId68" w:tooltip="House of Representatives of the Philippines" w:history="1">
        <w:r w:rsidRPr="0020367C">
          <w:rPr>
            <w:rStyle w:val="Hyperlink"/>
            <w:iCs/>
            <w:color w:val="auto"/>
            <w:u w:val="none"/>
          </w:rPr>
          <w:t>House of Representatives</w:t>
        </w:r>
      </w:hyperlink>
      <w:r w:rsidRPr="0020367C">
        <w:rPr>
          <w:rStyle w:val="apple-converted-space"/>
          <w:iCs/>
        </w:rPr>
        <w:t> </w:t>
      </w:r>
      <w:r w:rsidRPr="0020367C">
        <w:rPr>
          <w:iCs/>
        </w:rPr>
        <w:t>and</w:t>
      </w:r>
      <w:r w:rsidRPr="0020367C">
        <w:rPr>
          <w:rStyle w:val="apple-converted-space"/>
          <w:iCs/>
        </w:rPr>
        <w:t> </w:t>
      </w:r>
      <w:hyperlink r:id="rId69" w:tooltip="Senate of the Philippines" w:history="1">
        <w:r w:rsidRPr="0020367C">
          <w:rPr>
            <w:rStyle w:val="Hyperlink"/>
            <w:iCs/>
            <w:color w:val="auto"/>
            <w:u w:val="none"/>
          </w:rPr>
          <w:t>Senate</w:t>
        </w:r>
      </w:hyperlink>
      <w:r w:rsidRPr="0020367C">
        <w:rPr>
          <w:iCs/>
        </w:rPr>
        <w:t>, should also initiate its own actions promptly and without delay. They must enact laws which ensure protection of rights—laws against</w:t>
      </w:r>
      <w:r w:rsidRPr="0020367C">
        <w:rPr>
          <w:rStyle w:val="apple-converted-space"/>
          <w:iCs/>
        </w:rPr>
        <w:t> </w:t>
      </w:r>
      <w:hyperlink r:id="rId70" w:tooltip="Torture" w:history="1">
        <w:r w:rsidRPr="0020367C">
          <w:rPr>
            <w:rStyle w:val="Hyperlink"/>
            <w:iCs/>
            <w:color w:val="auto"/>
            <w:u w:val="none"/>
          </w:rPr>
          <w:t>torture</w:t>
        </w:r>
      </w:hyperlink>
      <w:r w:rsidRPr="0020367C">
        <w:rPr>
          <w:rStyle w:val="apple-converted-space"/>
          <w:iCs/>
        </w:rPr>
        <w:t> </w:t>
      </w:r>
      <w:r w:rsidRPr="0020367C">
        <w:rPr>
          <w:iCs/>
        </w:rPr>
        <w:t>and</w:t>
      </w:r>
      <w:r w:rsidRPr="0020367C">
        <w:rPr>
          <w:rStyle w:val="apple-converted-space"/>
          <w:iCs/>
        </w:rPr>
        <w:t> </w:t>
      </w:r>
      <w:hyperlink r:id="rId71" w:tooltip="Enforced disappearance" w:history="1">
        <w:r w:rsidRPr="0020367C">
          <w:rPr>
            <w:rStyle w:val="Hyperlink"/>
            <w:iCs/>
            <w:color w:val="auto"/>
            <w:u w:val="none"/>
          </w:rPr>
          <w:t>enforced disappearance</w:t>
        </w:r>
      </w:hyperlink>
      <w:r w:rsidRPr="0020367C">
        <w:rPr>
          <w:rStyle w:val="apple-converted-space"/>
          <w:iCs/>
        </w:rPr>
        <w:t> </w:t>
      </w:r>
      <w:r w:rsidRPr="0020367C">
        <w:rPr>
          <w:iCs/>
        </w:rPr>
        <w:t>and laws to afford adequate legal remedies to victims</w:t>
      </w:r>
      <w:r w:rsidRPr="0020367C">
        <w:t>." AHRC objected since</w:t>
      </w:r>
      <w:r w:rsidRPr="0020367C">
        <w:rPr>
          <w:rStyle w:val="apple-converted-space"/>
        </w:rPr>
        <w:t> </w:t>
      </w:r>
      <w:r w:rsidRPr="0020367C">
        <w:t>the</w:t>
      </w:r>
      <w:r w:rsidRPr="0020367C">
        <w:rPr>
          <w:rStyle w:val="apple-converted-space"/>
        </w:rPr>
        <w:t> </w:t>
      </w:r>
      <w:hyperlink r:id="rId72" w:tooltip="Writ" w:history="1">
        <w:r w:rsidRPr="0020367C">
          <w:rPr>
            <w:rStyle w:val="Hyperlink"/>
            <w:color w:val="auto"/>
            <w:u w:val="none"/>
          </w:rPr>
          <w:t>writ</w:t>
        </w:r>
      </w:hyperlink>
      <w:r w:rsidRPr="0020367C">
        <w:t xml:space="preserve"> failed to protect non-witnesses, even if they too face threats or risk to their lives.</w:t>
      </w:r>
    </w:p>
    <w:p w:rsidR="0020367C" w:rsidRDefault="0020367C">
      <w:pPr>
        <w:rPr>
          <w:rFonts w:ascii="Times New Roman" w:eastAsia="Times New Roman" w:hAnsi="Times New Roman" w:cs="Times New Roman"/>
          <w:b/>
          <w:color w:val="252525"/>
          <w:sz w:val="24"/>
          <w:szCs w:val="24"/>
        </w:rPr>
      </w:pPr>
      <w:r>
        <w:rPr>
          <w:b/>
          <w:color w:val="252525"/>
        </w:rPr>
        <w:br w:type="page"/>
      </w:r>
    </w:p>
    <w:p w:rsidR="007526A8" w:rsidRPr="002477EA" w:rsidRDefault="007526A8" w:rsidP="007526A8">
      <w:pPr>
        <w:pStyle w:val="NormalWeb"/>
        <w:shd w:val="clear" w:color="auto" w:fill="FFFFFF"/>
        <w:spacing w:before="120" w:beforeAutospacing="0" w:after="120" w:afterAutospacing="0"/>
        <w:jc w:val="both"/>
        <w:rPr>
          <w:color w:val="000000" w:themeColor="text1"/>
        </w:rPr>
      </w:pPr>
      <w:r w:rsidRPr="002477EA">
        <w:rPr>
          <w:b/>
          <w:color w:val="252525"/>
        </w:rPr>
        <w:lastRenderedPageBreak/>
        <w:t xml:space="preserve">5.3 </w:t>
      </w:r>
      <w:r w:rsidRPr="002477EA">
        <w:rPr>
          <w:b/>
        </w:rPr>
        <w:t>Marginalized people access to Justice and Human Right</w:t>
      </w:r>
    </w:p>
    <w:p w:rsidR="007526A8" w:rsidRPr="002477EA" w:rsidRDefault="007526A8" w:rsidP="007526A8">
      <w:pPr>
        <w:pStyle w:val="NormalWeb"/>
        <w:spacing w:before="0" w:beforeAutospacing="0" w:after="240" w:afterAutospacing="0" w:line="360" w:lineRule="auto"/>
        <w:jc w:val="both"/>
      </w:pPr>
      <w:r w:rsidRPr="002477EA">
        <w:t>Poverty defines many communities in Asia, and a major cause of human rights violations. A 2005 explanation of this phenomenon still holds true:</w:t>
      </w:r>
    </w:p>
    <w:p w:rsidR="007526A8" w:rsidRPr="002477EA" w:rsidRDefault="007526A8" w:rsidP="0020367C">
      <w:pPr>
        <w:pStyle w:val="NormalWeb"/>
        <w:spacing w:before="0" w:beforeAutospacing="0" w:after="240" w:afterAutospacing="0" w:line="360" w:lineRule="auto"/>
        <w:jc w:val="both"/>
      </w:pPr>
      <w:r w:rsidRPr="002477EA">
        <w:t>Laws in the agenda for economic development, pursued by many states of the [Asian] region, are amply reflected in the growing poverty and social exclusion of large sectors of the population. Serious violations of economic, social and cultural rights have become engraved in actions of the state. Affected populations find that in the current environment of globalization their own governments are either unable or unwilling to redress the difficulties they confront. Exploitation of labor and depletion of the environment are some of the serious forms of violations resulting from the new economic arrangements. Indigenous populations are often particularly affected by such violations. Governments, having the primary obligation of addressing the poverty issue, have failed to undertake measures that directly address the root causes of poverty.</w:t>
      </w:r>
    </w:p>
    <w:p w:rsidR="007526A8" w:rsidRPr="002477EA" w:rsidRDefault="007526A8" w:rsidP="007526A8">
      <w:pPr>
        <w:pStyle w:val="NormalWeb"/>
        <w:spacing w:before="0" w:beforeAutospacing="0" w:after="240" w:afterAutospacing="0" w:line="360" w:lineRule="auto"/>
        <w:jc w:val="both"/>
      </w:pPr>
      <w:r w:rsidRPr="002477EA">
        <w:t>Governmental institutions, including the courts, have alienated the poor with their inefficient and corrupt systems. The poor find little opportunity to get justice under this situation. Many law- oriented non-governmental institutions see the need to</w:t>
      </w:r>
      <w:r w:rsidRPr="002477EA">
        <w:rPr>
          <w:color w:val="333333"/>
        </w:rPr>
        <w:t xml:space="preserve"> </w:t>
      </w:r>
      <w:r w:rsidRPr="002477EA">
        <w:t>adopt a structural approach to help the poor. Though the legal system is generally problematic, they still consider it as an important resource to access justice.</w:t>
      </w:r>
    </w:p>
    <w:p w:rsidR="007526A8" w:rsidRPr="002477EA" w:rsidRDefault="007526A8" w:rsidP="0020367C">
      <w:pPr>
        <w:pStyle w:val="NormalWeb"/>
        <w:spacing w:before="0" w:beforeAutospacing="0" w:after="240" w:afterAutospacing="0"/>
        <w:jc w:val="both"/>
        <w:rPr>
          <w:b/>
        </w:rPr>
      </w:pPr>
      <w:r w:rsidRPr="002477EA">
        <w:rPr>
          <w:b/>
        </w:rPr>
        <w:t>5.3.1 Initiative:</w:t>
      </w:r>
    </w:p>
    <w:p w:rsidR="007526A8" w:rsidRPr="002477EA" w:rsidRDefault="007526A8" w:rsidP="007526A8">
      <w:pPr>
        <w:pStyle w:val="NormalWeb"/>
        <w:spacing w:before="0" w:beforeAutospacing="0" w:after="240" w:afterAutospacing="0" w:line="360" w:lineRule="auto"/>
        <w:jc w:val="both"/>
      </w:pPr>
      <w:r w:rsidRPr="002477EA">
        <w:t>The concept of access to justice has various forms in Asia. In the 1970s, organizations of lawyers and social development workers employed legal interventions that went beyond the usual notion of legal aid. They realized that legal aid as traditionally defined would not substantially resolve the suffering of the poor and the disadvantaged.</w:t>
      </w:r>
      <w:r w:rsidRPr="002477EA">
        <w:rPr>
          <w:rStyle w:val="apple-converted-space"/>
        </w:rPr>
        <w:t> </w:t>
      </w:r>
      <w:r w:rsidRPr="002477EA">
        <w:t>The court-oriented approach to obtaining justice was not enough. Laws, despite limitations, must be useful at the hands of the poor and the disadvantaged. Other structures in government and society should be utilized to fully address deep-rooted problems of the poor and the disadvantaged.</w:t>
      </w:r>
    </w:p>
    <w:p w:rsidR="007526A8" w:rsidRPr="002477EA" w:rsidRDefault="007526A8" w:rsidP="007526A8">
      <w:pPr>
        <w:pStyle w:val="NormalWeb"/>
        <w:spacing w:before="0" w:beforeAutospacing="0" w:after="240" w:afterAutospacing="0" w:line="360" w:lineRule="auto"/>
        <w:jc w:val="both"/>
      </w:pPr>
      <w:r w:rsidRPr="002477EA">
        <w:t>Indonesia’s “structural legal aid,” the Philippines’</w:t>
      </w:r>
      <w:r w:rsidRPr="002477EA">
        <w:rPr>
          <w:rStyle w:val="apple-converted-space"/>
        </w:rPr>
        <w:t> </w:t>
      </w:r>
      <w:r w:rsidRPr="002477EA">
        <w:t>“developmental legal assistance” and India’s legal resources approach are examples of legal interventions that were employed by legal professionals and para-professionals in Asia in the 1970s and 1980s.</w:t>
      </w:r>
      <w:r w:rsidRPr="002477EA">
        <w:rPr>
          <w:rStyle w:val="apple-converted-space"/>
        </w:rPr>
        <w:t> </w:t>
      </w:r>
      <w:r w:rsidRPr="002477EA">
        <w:t xml:space="preserve">They all focused on marginalized groups, operated under the principle that existing laws and legal systems were </w:t>
      </w:r>
      <w:r w:rsidRPr="002477EA">
        <w:lastRenderedPageBreak/>
        <w:t>generally biased in favor of the rich and the powerful, combined legal work with social/community mobilization programs, emphasized the importance of empowering the poor and the disadvantaged, and engaged in law reform. In the 1990s such legal interventions have also been known as public interest litigation or social action litigation</w:t>
      </w:r>
      <w:r w:rsidRPr="002477EA">
        <w:rPr>
          <w:rStyle w:val="apple-converted-space"/>
        </w:rPr>
        <w:t> </w:t>
      </w:r>
      <w:r w:rsidRPr="002477EA">
        <w:t>(particularly in South Asia).</w:t>
      </w:r>
    </w:p>
    <w:p w:rsidR="007526A8" w:rsidRPr="002477EA" w:rsidRDefault="007526A8" w:rsidP="007526A8">
      <w:pPr>
        <w:pStyle w:val="NormalWeb"/>
        <w:spacing w:before="0" w:beforeAutospacing="0" w:after="240" w:afterAutospacing="0" w:line="360" w:lineRule="auto"/>
        <w:jc w:val="both"/>
      </w:pPr>
      <w:r w:rsidRPr="002477EA">
        <w:t>From the 1990s to the present, more institutions were established to address the access to justice question. More initiatives have been tried, some successfully implemented. These initiatives include the law and development programs that incorporate legal empowerment as a major component. Studies on the impact of legal empowerment activities largely show positive outcome, particularly on getting poor and disadvantaged communities to act on their problems. But access-to-justice law practitioners face numerous challenges. The 2008 Regional Conference on Lawyering for Social Justice and Human Rights recommended a number of measures to address common concerns and challenges of these Asian law practitioners, namely,</w:t>
      </w:r>
    </w:p>
    <w:p w:rsidR="0020367C" w:rsidRDefault="007526A8" w:rsidP="0020367C">
      <w:pPr>
        <w:pStyle w:val="NormalWeb"/>
        <w:spacing w:before="0" w:beforeAutospacing="0" w:after="0" w:afterAutospacing="0" w:line="360" w:lineRule="auto"/>
        <w:jc w:val="both"/>
      </w:pPr>
      <w:r w:rsidRPr="002477EA">
        <w:t>a. Networking and coalition- building among lawyers and law groups.</w:t>
      </w:r>
    </w:p>
    <w:p w:rsidR="007526A8" w:rsidRPr="002477EA" w:rsidRDefault="007526A8" w:rsidP="0020367C">
      <w:pPr>
        <w:pStyle w:val="NormalWeb"/>
        <w:spacing w:before="0" w:beforeAutospacing="0" w:after="0" w:afterAutospacing="0" w:line="360" w:lineRule="auto"/>
        <w:jc w:val="both"/>
      </w:pPr>
      <w:r w:rsidRPr="002477EA">
        <w:t>b. Judicial reform programs and (re)formulation of government policies, in order to improve access to justice by the poor.</w:t>
      </w:r>
    </w:p>
    <w:p w:rsidR="0020367C" w:rsidRDefault="007526A8" w:rsidP="0020367C">
      <w:pPr>
        <w:pStyle w:val="NormalWeb"/>
        <w:spacing w:before="0" w:beforeAutospacing="0" w:after="0" w:afterAutospacing="0" w:line="360" w:lineRule="auto"/>
        <w:jc w:val="both"/>
      </w:pPr>
      <w:r w:rsidRPr="002477EA">
        <w:t>c. Regional strategizing, such as setting the framework for integrating justice work with broad-based development work, developing regional jurisprudence regarding cases involving international human rights instruments, establishing database on best practices/documentation of successes and challenges, preparing regional human rights reports, and networking with other “communities” or actors (like national human rights institutions, corporations).</w:t>
      </w:r>
    </w:p>
    <w:p w:rsidR="0020367C" w:rsidRDefault="007526A8" w:rsidP="0020367C">
      <w:pPr>
        <w:pStyle w:val="NormalWeb"/>
        <w:spacing w:before="0" w:beforeAutospacing="0" w:after="0" w:afterAutospacing="0" w:line="360" w:lineRule="auto"/>
        <w:jc w:val="both"/>
      </w:pPr>
      <w:r w:rsidRPr="002477EA">
        <w:t>d. Learning from the successes and failures in employing legal strategies by the communities.</w:t>
      </w:r>
      <w:r w:rsidRPr="002477EA">
        <w:br/>
        <w:t>e. Continuing capacity-building to popularize laws and international human rights instruments, maximize use of the media, train people on international human rights instruments and access to justice, and train paralegals.</w:t>
      </w:r>
    </w:p>
    <w:p w:rsidR="007526A8" w:rsidRPr="002477EA" w:rsidRDefault="007526A8" w:rsidP="0020367C">
      <w:pPr>
        <w:pStyle w:val="NormalWeb"/>
        <w:spacing w:before="0" w:beforeAutospacing="0" w:after="0" w:afterAutospacing="0" w:line="360" w:lineRule="auto"/>
        <w:jc w:val="both"/>
      </w:pPr>
      <w:r w:rsidRPr="002477EA">
        <w:t>f. Maximizing linkages and critically engaging international bodies and regional formations.</w:t>
      </w:r>
    </w:p>
    <w:p w:rsidR="007526A8" w:rsidRPr="002477EA" w:rsidRDefault="007526A8" w:rsidP="0020367C">
      <w:pPr>
        <w:pStyle w:val="NormalWeb"/>
        <w:spacing w:before="0" w:beforeAutospacing="0" w:after="0" w:afterAutospacing="0" w:line="360" w:lineRule="auto"/>
        <w:jc w:val="both"/>
      </w:pPr>
      <w:r w:rsidRPr="002477EA">
        <w:t>Recent initiatives in the region include the development of close cooperation between the access-to-justice law practitioners and members of the judiciary, the legislators, and the government officials. Access-to-justice programs constitute a significant part of the human rights work in Asia.</w:t>
      </w:r>
    </w:p>
    <w:p w:rsidR="007526A8" w:rsidRPr="002477EA" w:rsidRDefault="007526A8" w:rsidP="007526A8">
      <w:pPr>
        <w:pStyle w:val="NormalWeb"/>
        <w:spacing w:before="0" w:beforeAutospacing="0" w:after="0" w:afterAutospacing="0" w:line="360" w:lineRule="auto"/>
        <w:jc w:val="both"/>
      </w:pPr>
      <w:r w:rsidRPr="002477EA">
        <w:rPr>
          <w:b/>
        </w:rPr>
        <w:lastRenderedPageBreak/>
        <w:t>5.4 Asian Consortium</w:t>
      </w:r>
    </w:p>
    <w:p w:rsidR="007526A8" w:rsidRPr="002477EA" w:rsidRDefault="007526A8" w:rsidP="007526A8">
      <w:pPr>
        <w:pStyle w:val="NormalWeb"/>
        <w:spacing w:before="0" w:beforeAutospacing="0" w:after="0" w:afterAutospacing="0" w:line="360" w:lineRule="auto"/>
        <w:jc w:val="both"/>
      </w:pPr>
      <w:r w:rsidRPr="002477EA">
        <w:t>The United Nations Development Programme (UNDP) started the Asia-Pacific Rights and Justice Initiative in 2002 in line with its global program on building the capacity of national systems and institutions to promote and protect human rights, and on promoting the use of a human rights-based approach in development programming. This initiative advocates the 1) use of relevant human rights standards as roadmap for policy change; 2) the voice of the disadvantaged people; 3).It focuses on three major activities:</w:t>
      </w:r>
    </w:p>
    <w:p w:rsidR="007526A8" w:rsidRPr="002477EA" w:rsidRDefault="007526A8" w:rsidP="007526A8">
      <w:pPr>
        <w:pStyle w:val="NormalWeb"/>
        <w:spacing w:before="0" w:beforeAutospacing="0" w:after="0" w:afterAutospacing="0" w:line="360" w:lineRule="auto"/>
        <w:ind w:left="600"/>
        <w:jc w:val="both"/>
      </w:pPr>
      <w:r w:rsidRPr="002477EA">
        <w:t>a. Networking – creation of a pool of practitioners who are willing to support the work of the Consortium, and who can be resource persons in applying human-rights based approach to access to justice issues</w:t>
      </w:r>
    </w:p>
    <w:p w:rsidR="007526A8" w:rsidRPr="002477EA" w:rsidRDefault="007526A8" w:rsidP="007526A8">
      <w:pPr>
        <w:pStyle w:val="NormalWeb"/>
        <w:spacing w:before="0" w:beforeAutospacing="0" w:after="0" w:afterAutospacing="0" w:line="360" w:lineRule="auto"/>
        <w:ind w:left="600"/>
        <w:jc w:val="both"/>
      </w:pPr>
      <w:r w:rsidRPr="002477EA">
        <w:t xml:space="preserve">b. Capacity Development – development of training modules and other materials, and holding of training sessions on human-rights based approach to access to justice </w:t>
      </w:r>
    </w:p>
    <w:p w:rsidR="007526A8" w:rsidRPr="002477EA" w:rsidRDefault="007526A8" w:rsidP="007526A8">
      <w:pPr>
        <w:pStyle w:val="NormalWeb"/>
        <w:spacing w:before="0" w:beforeAutospacing="0" w:after="0" w:afterAutospacing="0" w:line="360" w:lineRule="auto"/>
        <w:ind w:left="600"/>
        <w:jc w:val="both"/>
      </w:pPr>
      <w:r w:rsidRPr="002477EA">
        <w:t>c. Advocacy – development of a regional advocacy agenda that support the promotion of human rights based approach to access to justice in Asia.</w:t>
      </w:r>
    </w:p>
    <w:p w:rsidR="007526A8" w:rsidRPr="002477EA" w:rsidRDefault="007526A8" w:rsidP="007526A8">
      <w:pPr>
        <w:pStyle w:val="NormalWeb"/>
        <w:spacing w:before="0" w:beforeAutospacing="0" w:after="240" w:afterAutospacing="0" w:line="360" w:lineRule="auto"/>
        <w:jc w:val="both"/>
      </w:pPr>
      <w:r w:rsidRPr="002477EA">
        <w:t>A region-wide dissemination of concrete experiences on the practice of human rights-based approach to access to justice is valuable. It leads to 1) recognition of the work of national/local group sunder taking difficult tasks within marginalized communities; 2) creation of a</w:t>
      </w:r>
      <w:r w:rsidRPr="002477EA">
        <w:rPr>
          <w:rStyle w:val="apple-converted-space"/>
        </w:rPr>
        <w:t> </w:t>
      </w:r>
      <w:r w:rsidRPr="002477EA">
        <w:t>“virtual community” of like-minded institutions (both governmental and non-governmental); 3) provision of bases for analysis and development of the principles and practices of human rights- based approach to access to justice; 4) development of working relationships among such institutions within countries and/or the region; and 5) creation of opportunities for staff development drawing from the rich collective experiences of the institutions. It is a concrete form of networking</w:t>
      </w:r>
      <w:r w:rsidRPr="002477EA">
        <w:rPr>
          <w:rStyle w:val="apple-converted-space"/>
        </w:rPr>
        <w:t> </w:t>
      </w:r>
      <w:r w:rsidRPr="002477EA">
        <w:t>and advocacy in the region</w:t>
      </w:r>
      <w:r w:rsidRPr="002477EA">
        <w:rPr>
          <w:rStyle w:val="FootnoteReference"/>
        </w:rPr>
        <w:footnoteReference w:id="37"/>
      </w:r>
      <w:r w:rsidRPr="002477EA">
        <w:t>.</w:t>
      </w:r>
    </w:p>
    <w:p w:rsidR="007526A8" w:rsidRPr="002477EA" w:rsidRDefault="007526A8" w:rsidP="007526A8">
      <w:pPr>
        <w:pStyle w:val="NormalWeb"/>
        <w:spacing w:before="0" w:beforeAutospacing="0" w:after="0" w:afterAutospacing="0" w:line="360" w:lineRule="auto"/>
        <w:jc w:val="both"/>
      </w:pPr>
      <w:r w:rsidRPr="002477EA">
        <w:rPr>
          <w:b/>
        </w:rPr>
        <w:t>5.5 UNDP works with national partners</w:t>
      </w:r>
    </w:p>
    <w:p w:rsidR="007526A8" w:rsidRPr="002477EA" w:rsidRDefault="007526A8" w:rsidP="007526A8">
      <w:pPr>
        <w:spacing w:line="360" w:lineRule="auto"/>
        <w:jc w:val="both"/>
        <w:rPr>
          <w:rFonts w:ascii="Times New Roman" w:hAnsi="Times New Roman"/>
          <w:sz w:val="24"/>
          <w:szCs w:val="24"/>
        </w:rPr>
      </w:pPr>
      <w:r w:rsidRPr="002477EA">
        <w:rPr>
          <w:rFonts w:ascii="Times New Roman" w:hAnsi="Times New Roman"/>
          <w:sz w:val="24"/>
          <w:szCs w:val="24"/>
        </w:rPr>
        <w:t xml:space="preserve">In envisioning a Bangladesh that is free, secure and prosperous, UNDP underscores the importance of global and national partnerships and an integrated view of development. To support for MDGs UNDP Bangladesh puts partnerships at the centre of its efforts, especially since the goals are cross-cutting and often symptomatic of deprivation and poverty. Over the past </w:t>
      </w:r>
      <w:r w:rsidRPr="002477EA">
        <w:rPr>
          <w:rFonts w:ascii="Times New Roman" w:hAnsi="Times New Roman"/>
          <w:sz w:val="24"/>
          <w:szCs w:val="24"/>
        </w:rPr>
        <w:lastRenderedPageBreak/>
        <w:t>several years, UNDP has made significant progress in strengthening partnerships and marshalling resources to unlock and enlarge the potentials for human development in Bangladesh. We believe our work has a significant impact because of the synergy we create between the Government of Bangladesh, UN agencies, bilateral agencies, the private sector and civil society.</w:t>
      </w:r>
    </w:p>
    <w:p w:rsidR="007526A8" w:rsidRPr="002477EA" w:rsidRDefault="007526A8" w:rsidP="007526A8">
      <w:pPr>
        <w:spacing w:line="360" w:lineRule="auto"/>
        <w:jc w:val="both"/>
        <w:rPr>
          <w:rFonts w:ascii="Times New Roman" w:hAnsi="Times New Roman"/>
          <w:sz w:val="24"/>
          <w:szCs w:val="24"/>
        </w:rPr>
      </w:pPr>
      <w:r w:rsidRPr="002477EA">
        <w:rPr>
          <w:rFonts w:ascii="Times New Roman" w:hAnsi="Times New Roman"/>
          <w:sz w:val="24"/>
          <w:szCs w:val="24"/>
        </w:rPr>
        <w:t>UNDP Bangladesh has made continuous efforts for having strategic partnerships/alliances to achieve more with less, hence has been selective, not exhaustive. Strategic partnerships/ alliances have enabled us to gain a competitive advantage through access to new ideas, technologies, know-how and resources</w:t>
      </w:r>
      <w:r w:rsidRPr="002477EA">
        <w:rPr>
          <w:rStyle w:val="FootnoteReference"/>
          <w:rFonts w:ascii="Times New Roman" w:hAnsi="Times New Roman"/>
          <w:sz w:val="24"/>
          <w:szCs w:val="24"/>
        </w:rPr>
        <w:footnoteReference w:id="38"/>
      </w:r>
      <w:r w:rsidRPr="002477EA">
        <w:rPr>
          <w:rFonts w:ascii="Times New Roman" w:hAnsi="Times New Roman"/>
          <w:sz w:val="24"/>
          <w:szCs w:val="24"/>
        </w:rPr>
        <w:t>.</w:t>
      </w:r>
    </w:p>
    <w:p w:rsidR="007526A8" w:rsidRPr="002477EA" w:rsidRDefault="007526A8" w:rsidP="007526A8">
      <w:pPr>
        <w:spacing w:line="360" w:lineRule="auto"/>
        <w:jc w:val="both"/>
        <w:rPr>
          <w:rFonts w:ascii="Times New Roman" w:hAnsi="Times New Roman"/>
          <w:b/>
          <w:sz w:val="24"/>
          <w:szCs w:val="24"/>
        </w:rPr>
      </w:pPr>
      <w:r w:rsidRPr="002477EA">
        <w:rPr>
          <w:rFonts w:ascii="Times New Roman" w:hAnsi="Times New Roman"/>
          <w:b/>
          <w:sz w:val="24"/>
          <w:szCs w:val="24"/>
        </w:rPr>
        <w:t>5.6 Human Right Law and poverty reduction</w:t>
      </w:r>
    </w:p>
    <w:p w:rsidR="007526A8" w:rsidRPr="002477EA" w:rsidRDefault="007526A8" w:rsidP="007526A8">
      <w:pPr>
        <w:autoSpaceDE w:val="0"/>
        <w:autoSpaceDN w:val="0"/>
        <w:adjustRightInd w:val="0"/>
        <w:spacing w:line="360" w:lineRule="auto"/>
        <w:jc w:val="both"/>
        <w:rPr>
          <w:rFonts w:ascii="Times New Roman" w:hAnsi="Times New Roman"/>
          <w:sz w:val="24"/>
          <w:szCs w:val="24"/>
        </w:rPr>
      </w:pPr>
      <w:r w:rsidRPr="002477EA">
        <w:rPr>
          <w:rFonts w:ascii="Times New Roman" w:hAnsi="Times New Roman"/>
          <w:sz w:val="24"/>
          <w:szCs w:val="24"/>
        </w:rPr>
        <w:t xml:space="preserve">The idea that non-fulfillment of only certain kinds of human rights and not others will count as poverty may seem to militate against the principle of indivisibility of rights, which states that all human rights are equally important. However, it does not. The principle of the indivisibility of human rights does not mean that all social phenomena must be defined by reference to all rights. The principle does not mean that torture, sexual stereotyping, or unfair trials must be defined by reference to all the rights enumerated in the Universal Declaration of Human Rights. On the contrary, a human rights definition of these phenomena would certainly be confined to a limited range of international human rights. However, a </w:t>
      </w:r>
      <w:r w:rsidRPr="002477EA">
        <w:rPr>
          <w:rFonts w:ascii="Times New Roman" w:hAnsi="Times New Roman"/>
          <w:iCs/>
          <w:sz w:val="24"/>
          <w:szCs w:val="24"/>
        </w:rPr>
        <w:t xml:space="preserve">strategy </w:t>
      </w:r>
      <w:r w:rsidRPr="002477EA">
        <w:rPr>
          <w:rFonts w:ascii="Times New Roman" w:hAnsi="Times New Roman"/>
          <w:sz w:val="24"/>
          <w:szCs w:val="24"/>
        </w:rPr>
        <w:t xml:space="preserve">to combat torture, sexual stereotyping or unfair trials would have to address a much wider range of rights than those by which these phenomena are defined. Thus, a human rights definition of unfair trials would include article 14 of the ICCPR, but it may exclude just and favorable conditions of work for judges (article 7 of the ICESCR). On the other hand, an effective </w:t>
      </w:r>
      <w:r w:rsidRPr="002477EA">
        <w:rPr>
          <w:rFonts w:ascii="Times New Roman" w:hAnsi="Times New Roman"/>
          <w:iCs/>
          <w:sz w:val="24"/>
          <w:szCs w:val="24"/>
        </w:rPr>
        <w:t xml:space="preserve">strategy </w:t>
      </w:r>
      <w:r w:rsidRPr="002477EA">
        <w:rPr>
          <w:rFonts w:ascii="Times New Roman" w:hAnsi="Times New Roman"/>
          <w:sz w:val="24"/>
          <w:szCs w:val="24"/>
        </w:rPr>
        <w:t>for tackling the problem of unfair trials would not only include issues relating to ICCPR, article 14, such as the presumption of innocence, but also the terms and conditions of judges’ employment (ICESCR, article 7).</w:t>
      </w:r>
    </w:p>
    <w:p w:rsidR="007526A8" w:rsidRPr="002477EA" w:rsidRDefault="007526A8" w:rsidP="007526A8">
      <w:pPr>
        <w:autoSpaceDE w:val="0"/>
        <w:autoSpaceDN w:val="0"/>
        <w:adjustRightInd w:val="0"/>
        <w:spacing w:line="360" w:lineRule="auto"/>
        <w:jc w:val="both"/>
        <w:rPr>
          <w:rFonts w:ascii="Times New Roman" w:hAnsi="Times New Roman"/>
          <w:sz w:val="24"/>
          <w:szCs w:val="24"/>
        </w:rPr>
      </w:pPr>
      <w:r w:rsidRPr="002477EA">
        <w:rPr>
          <w:rFonts w:ascii="Times New Roman" w:hAnsi="Times New Roman"/>
          <w:sz w:val="24"/>
          <w:szCs w:val="24"/>
        </w:rPr>
        <w:t xml:space="preserve">The same argument applies to poverty. The principle of the indivisibility of human rights does not demand that poverty be defined by reference to all the rights set out in the International Bill of Rights, but it does demand an inclusive strategy for addressing poverty. The approach adopted </w:t>
      </w:r>
      <w:r w:rsidRPr="002477EA">
        <w:rPr>
          <w:rFonts w:ascii="Times New Roman" w:hAnsi="Times New Roman"/>
          <w:sz w:val="24"/>
          <w:szCs w:val="24"/>
        </w:rPr>
        <w:lastRenderedPageBreak/>
        <w:t>in this paper is perfectly consistent with this principle. While poverty may be defined by reference to a limited range of human rights – which will vary from one society to another, although empirical evidence suggests some rights will be common to all – an effective anti-poverty strategy will certainly have to address a much wider range of human rights. This is because human rights can be relevant to poverty in multiple ways. It is useful to distinguish three different ways in which human rights can be relevant to poverty: constitutive relevance, instrumental relevance and constraint-based relevance. If the non-fulfillment of a certain human right meets the two conditions mentioned above, it can be said to have constitutive relevance to poverty. But even when a right does not have constitutive relevance in this sense, it may still be relevant to poverty for the other two reasons. Instrumental relevance refers to the ability of certain human rights to promote the cause of poverty reduction. Two different types of instrumental relevance may be distinguished, viz. causative and evaluative.</w:t>
      </w:r>
    </w:p>
    <w:p w:rsidR="007526A8" w:rsidRPr="002477EA" w:rsidRDefault="007526A8" w:rsidP="007526A8">
      <w:pPr>
        <w:autoSpaceDE w:val="0"/>
        <w:autoSpaceDN w:val="0"/>
        <w:adjustRightInd w:val="0"/>
        <w:spacing w:line="360" w:lineRule="auto"/>
        <w:jc w:val="both"/>
        <w:rPr>
          <w:rFonts w:ascii="Times New Roman" w:hAnsi="Times New Roman"/>
          <w:sz w:val="24"/>
          <w:szCs w:val="24"/>
        </w:rPr>
      </w:pPr>
      <w:r w:rsidRPr="002477EA">
        <w:rPr>
          <w:rFonts w:ascii="Times New Roman" w:hAnsi="Times New Roman"/>
          <w:sz w:val="24"/>
          <w:szCs w:val="24"/>
        </w:rPr>
        <w:t xml:space="preserve">The </w:t>
      </w:r>
      <w:r w:rsidRPr="002477EA">
        <w:rPr>
          <w:rFonts w:ascii="Times New Roman" w:hAnsi="Times New Roman"/>
          <w:iCs/>
          <w:sz w:val="24"/>
          <w:szCs w:val="24"/>
        </w:rPr>
        <w:t xml:space="preserve">causative relevance </w:t>
      </w:r>
      <w:r w:rsidRPr="002477EA">
        <w:rPr>
          <w:rFonts w:ascii="Times New Roman" w:hAnsi="Times New Roman"/>
          <w:sz w:val="24"/>
          <w:szCs w:val="24"/>
        </w:rPr>
        <w:t>of some human rights is illustrated by the well known example provided by Amartya Sen in his pioneering work on famines. His analysis points to the empirical regularity that famines never occur in a functioning democracy with a reasonable degree of civil-political freedom, especially with a relatively free media that is allowed to openly criticize the powers of the day. The reason for this regularity lies in the fact that democratically elected politicians cannot afford to be oblivious to the hue and cry that a free media would raise in the event of a famine, with the result that the Government tends to take appropriate preventive measures before an impending famine has the chance to strike. Civil and political rights thus play an important causative role in preventing the worst manifestation of poverty associated with famines. Obviously, however, the same causative relevance can also exist even in a situation of less extreme but persistent poverty. The idea of evaluative relevance stems from the observation that the analysis of poverty requires social evaluation of various kinds. Recall, for instance, the point made earlier that the characterization of poverty calls for a prior judgment as to which capabilities are to count as basic. In order to be ethically defensible, this judgment must be arrived at through a process of social consultation in which people from all walks of life are able to participate fully.</w:t>
      </w:r>
      <w:r w:rsidRPr="002477EA">
        <w:rPr>
          <w:rStyle w:val="FootnoteReference"/>
          <w:rFonts w:ascii="Times New Roman" w:hAnsi="Times New Roman"/>
          <w:sz w:val="24"/>
          <w:szCs w:val="24"/>
        </w:rPr>
        <w:footnoteReference w:id="39"/>
      </w:r>
      <w:r w:rsidRPr="002477EA">
        <w:rPr>
          <w:rFonts w:ascii="Times New Roman" w:hAnsi="Times New Roman"/>
          <w:sz w:val="24"/>
          <w:szCs w:val="24"/>
        </w:rPr>
        <w:t xml:space="preserve"> </w:t>
      </w:r>
    </w:p>
    <w:p w:rsidR="00A82859" w:rsidRPr="00D50F62" w:rsidRDefault="00A82859" w:rsidP="00261DFA">
      <w:pPr>
        <w:spacing w:line="240" w:lineRule="auto"/>
        <w:jc w:val="center"/>
        <w:rPr>
          <w:rFonts w:ascii="Times New Roman" w:hAnsi="Times New Roman" w:cs="Times New Roman"/>
          <w:b/>
          <w:sz w:val="26"/>
          <w:szCs w:val="32"/>
          <w:u w:val="single"/>
        </w:rPr>
      </w:pPr>
      <w:r w:rsidRPr="00D50F62">
        <w:rPr>
          <w:rFonts w:ascii="Times New Roman" w:hAnsi="Times New Roman" w:cs="Times New Roman"/>
          <w:b/>
          <w:sz w:val="30"/>
          <w:szCs w:val="36"/>
          <w:u w:val="single"/>
        </w:rPr>
        <w:lastRenderedPageBreak/>
        <w:t xml:space="preserve">Chapter </w:t>
      </w:r>
      <w:r w:rsidR="0074467F" w:rsidRPr="00D50F62">
        <w:rPr>
          <w:rFonts w:ascii="Times New Roman" w:hAnsi="Times New Roman" w:cs="Times New Roman"/>
          <w:b/>
          <w:sz w:val="30"/>
          <w:szCs w:val="36"/>
          <w:u w:val="single"/>
        </w:rPr>
        <w:t>6</w:t>
      </w:r>
      <w:r w:rsidR="00261DFA" w:rsidRPr="00D50F62">
        <w:rPr>
          <w:rFonts w:ascii="Times New Roman" w:hAnsi="Times New Roman" w:cs="Times New Roman"/>
          <w:b/>
          <w:sz w:val="30"/>
          <w:szCs w:val="36"/>
          <w:u w:val="single"/>
        </w:rPr>
        <w:t>:</w:t>
      </w:r>
      <w:r w:rsidR="0074467F" w:rsidRPr="00D50F62">
        <w:rPr>
          <w:rFonts w:ascii="Times New Roman" w:hAnsi="Times New Roman" w:cs="Times New Roman"/>
          <w:b/>
          <w:sz w:val="30"/>
          <w:szCs w:val="36"/>
          <w:u w:val="single"/>
        </w:rPr>
        <w:t xml:space="preserve"> Recommendation &amp; Conclusion</w:t>
      </w:r>
    </w:p>
    <w:p w:rsidR="00702576" w:rsidRPr="00702576" w:rsidRDefault="00702576" w:rsidP="00702576">
      <w:pPr>
        <w:autoSpaceDE w:val="0"/>
        <w:autoSpaceDN w:val="0"/>
        <w:adjustRightInd w:val="0"/>
        <w:spacing w:line="240" w:lineRule="auto"/>
        <w:rPr>
          <w:rFonts w:ascii="Times New Roman" w:hAnsi="Times New Roman"/>
          <w:sz w:val="26"/>
        </w:rPr>
      </w:pPr>
      <w:r w:rsidRPr="00702576">
        <w:rPr>
          <w:rFonts w:ascii="Times New Roman" w:hAnsi="Times New Roman"/>
          <w:b/>
          <w:bCs/>
          <w:color w:val="000000"/>
          <w:sz w:val="26"/>
        </w:rPr>
        <w:t>6.1 Human Rights Apply in Bangladesh / Recommendations</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Enforcement of Fundamental Human Rights in Bangladesh The Constitution of Bangladesh contains not mere human rights as fundamental rights but also effective measures of implementation thereof as well as the remedy for their infringement. Two ways are there for the enforcement: (i) Judicial Review (effective against the Parliament), and (ii) Judicial Enforcement (effective against the Executive). The presence of the two methods in the Constitution seems to be in line with the provision of Article 8 of the UDHR that runs: Everyone has the right to an effective remedy by the competent national tribunals for acts violating the fundamental rights granted to him by the Constitution or by law.” American Declaration of Independence of 1776 also gives a guideline to such enforcement of fundamental rights: “that all men are created equal,: that they are endowed by their Creator with certain unalienable Rights, that among these are Life, Liberty and pursuit of Happiness. That to secure these rights, Governments are instituted among Men, Constitution of Bangladesh and Human Rights: A Comparative Study DOI: 10.9790/0837-2211070918 www.iosrjournals.org 15 | Page deriving their just powers from the consent of the governed, That whenever any Form of Government becomes destructive of these ends, it is the Right of the People to alter or to abolish it and to institute a new Government. </w:t>
      </w:r>
    </w:p>
    <w:p w:rsidR="00A82859"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The central document on human rights in the world is the UDHR of 1948. It provides a number of 25 human rights, including 19 civil and political and 6 economic, social and cultural rights. Civil and political rights are popularly called bourgeois/ capitalist rights and the economic ones are called socialist, due to their origination and development in, accordingly, capitalist and socialist countries. To make the UDHR-rights of legal binding force in the State-Parties two covenants were adopted by the United Nations General Assembly on 16 December 1966, they are the ICCPR and the ICESCR. They contain principally the UDHR-rights, though there are some exceptions. As the economy of Bangladesh is capitalist, the capitalist human rights are incorporated in Part III of the Constitution as fundamental rights, capable of being judicially enforced under Article 102. Economic, social and cultural human rights, on the other hand, are incorporated in Part II as fundamental principles of state policy, not capable of being judicially enforced as provided by Article 8(2).</w:t>
      </w:r>
    </w:p>
    <w:p w:rsidR="00A82859" w:rsidRDefault="00A82859" w:rsidP="0074467F">
      <w:pPr>
        <w:spacing w:line="240" w:lineRule="auto"/>
        <w:jc w:val="both"/>
        <w:rPr>
          <w:rFonts w:ascii="Times New Roman" w:hAnsi="Times New Roman" w:cs="Times New Roman"/>
          <w:b/>
          <w:sz w:val="28"/>
          <w:szCs w:val="28"/>
        </w:rPr>
      </w:pPr>
      <w:r>
        <w:rPr>
          <w:rStyle w:val="FootnoteReference"/>
          <w:rFonts w:ascii="Times New Roman" w:hAnsi="Times New Roman" w:cs="Times New Roman"/>
          <w:b/>
          <w:sz w:val="28"/>
          <w:szCs w:val="28"/>
        </w:rPr>
        <w:lastRenderedPageBreak/>
        <w:footnoteReference w:id="40"/>
      </w:r>
      <w:r w:rsidRPr="00FB53D5">
        <w:rPr>
          <w:rFonts w:ascii="Times New Roman" w:hAnsi="Times New Roman" w:cs="Times New Roman"/>
          <w:b/>
          <w:sz w:val="28"/>
          <w:szCs w:val="28"/>
        </w:rPr>
        <w:t xml:space="preserve"> Judicial review: </w:t>
      </w:r>
    </w:p>
    <w:p w:rsidR="00A82859" w:rsidRPr="00AC6BEC"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Existing law means and includes those laws which Bangladesh inherited14 on 26 March 1971 as well as made before the commencement of the Constitution on 16 December 1972; whereas new law means and includes those laws which the Parliament of independent Bangladesh made or makes on or after the commencement of the Constitution. Article 26(1), says that all existing law inconsistent with provisions of this Part shall, to the extent of such inconsistency, become void on the commencement of this Constitution. Article 26(2), on the other hand, runs: The State shall not make any law inconsistent with any provisions of this Part, and any law so made shall, to the extent of such inconsistency, be void. But how shall it be void? It is the High Court Division of the Supreme Court of Bangladesh that declares it, after review, void. It follows that the Article imposes an embargo on the Parliament in case of making any whimsical law going against the fundamental human rights given in Part III. It’s a control of the Parliament by the Court so that it cannot make any such arbitrary law which it is not ascribed or desired by the will of the people to do. The same rule necessarily applies in regard to making any Ordinances, Orders, Rules, Regulations, Bye-laws, Notifications or other Legal Instruments, because these are within the ambit of the definition of law under Article 152 of the Constitution. </w:t>
      </w:r>
    </w:p>
    <w:p w:rsidR="00A82859" w:rsidRDefault="00A82859" w:rsidP="00A82859">
      <w:pPr>
        <w:spacing w:line="360" w:lineRule="auto"/>
        <w:jc w:val="both"/>
        <w:rPr>
          <w:rFonts w:ascii="Times New Roman" w:hAnsi="Times New Roman" w:cs="Times New Roman"/>
          <w:b/>
          <w:sz w:val="28"/>
          <w:szCs w:val="28"/>
        </w:rPr>
      </w:pPr>
    </w:p>
    <w:p w:rsidR="00A82859" w:rsidRPr="00FB53D5" w:rsidRDefault="00A82859" w:rsidP="0074467F">
      <w:pPr>
        <w:spacing w:line="240" w:lineRule="auto"/>
        <w:jc w:val="both"/>
        <w:rPr>
          <w:rFonts w:ascii="Times New Roman" w:hAnsi="Times New Roman" w:cs="Times New Roman"/>
          <w:sz w:val="28"/>
          <w:szCs w:val="28"/>
        </w:rPr>
      </w:pPr>
      <w:r>
        <w:rPr>
          <w:rStyle w:val="FootnoteReference"/>
          <w:rFonts w:ascii="Times New Roman" w:hAnsi="Times New Roman" w:cs="Times New Roman"/>
          <w:b/>
          <w:sz w:val="28"/>
          <w:szCs w:val="28"/>
        </w:rPr>
        <w:footnoteReference w:id="41"/>
      </w:r>
      <w:r w:rsidRPr="00FB53D5">
        <w:rPr>
          <w:rFonts w:ascii="Times New Roman" w:hAnsi="Times New Roman" w:cs="Times New Roman"/>
          <w:b/>
          <w:sz w:val="28"/>
          <w:szCs w:val="28"/>
        </w:rPr>
        <w:t xml:space="preserve"> Judicial enforcement:</w:t>
      </w:r>
      <w:r w:rsidRPr="00FB53D5">
        <w:rPr>
          <w:rFonts w:ascii="Times New Roman" w:hAnsi="Times New Roman" w:cs="Times New Roman"/>
          <w:sz w:val="28"/>
          <w:szCs w:val="28"/>
        </w:rPr>
        <w:t xml:space="preserv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It says that the High Court Division, on the application of any person aggrieved, may give such directions or orders to any person or authority, including any person performing any function in connection with the affairs of the Republic, as may be appropriate for the enforcement of any of the fundamental rights conferred by Part III of the Constitution. Asking a direction or order for the enforcement of fundamental rights a petition or case has to be filed before the High Court Division. Such petition or case is called writ petition that is lodged under Article 102(2). It is well known that against the judgments, decrees, orders or sentences of the High Court Division appeals may be preferred to the Appellate Division of the Supreme Court. An appeal, therefore, </w:t>
      </w:r>
      <w:r w:rsidRPr="00FB53D5">
        <w:rPr>
          <w:rFonts w:ascii="Times New Roman" w:hAnsi="Times New Roman" w:cs="Times New Roman"/>
          <w:sz w:val="24"/>
          <w:szCs w:val="24"/>
        </w:rPr>
        <w:lastRenderedPageBreak/>
        <w:t>against the orders in any writ petition may be referred to the Appellate Division. Through five kinds of writ such remedy of judicial enforcement is ensured: (A) Writ of Prohibition: Article 102 (a) (i) first portion, (B) Writ of Mandamus: Article 102 (a) (i) last portion, (C) Writ of certiorari: Article 102 (a) (ii), (D) Writ of habeas Corpus: Article 102 (b) (i), and (E) Writ of Quo-Warranto: Article 102 (b) (ii). 15 For the first three writs, prohibition, mandamus and certiorari, the petitioner must be a person aggrieved16 but for the last two, habeas corpus and quo-warranto, there is no such compulsion, any person may do the same. For the enforcement of fundamental rights a number of around 75000 writ cases are pending before the Supreme Court till 2016.</w:t>
      </w:r>
    </w:p>
    <w:p w:rsidR="00A82859" w:rsidRPr="00FB53D5" w:rsidRDefault="00A82859" w:rsidP="00A82859">
      <w:pPr>
        <w:spacing w:line="360" w:lineRule="auto"/>
        <w:jc w:val="both"/>
        <w:rPr>
          <w:rFonts w:ascii="Times New Roman" w:hAnsi="Times New Roman" w:cs="Times New Roman"/>
          <w:sz w:val="24"/>
          <w:szCs w:val="24"/>
        </w:rPr>
      </w:pPr>
    </w:p>
    <w:p w:rsidR="00C424D0" w:rsidRDefault="00C424D0">
      <w:pPr>
        <w:rPr>
          <w:rFonts w:ascii="Times New Roman" w:hAnsi="Times New Roman" w:cs="Times New Roman"/>
          <w:b/>
          <w:sz w:val="28"/>
          <w:szCs w:val="28"/>
        </w:rPr>
      </w:pPr>
      <w:r>
        <w:rPr>
          <w:rFonts w:ascii="Times New Roman" w:hAnsi="Times New Roman" w:cs="Times New Roman"/>
          <w:b/>
          <w:sz w:val="28"/>
          <w:szCs w:val="28"/>
        </w:rPr>
        <w:br w:type="page"/>
      </w:r>
    </w:p>
    <w:p w:rsidR="00A82859" w:rsidRPr="00FB53D5" w:rsidRDefault="00A82859" w:rsidP="00A82859">
      <w:pPr>
        <w:spacing w:line="360" w:lineRule="auto"/>
        <w:jc w:val="both"/>
        <w:rPr>
          <w:rFonts w:ascii="Times New Roman" w:hAnsi="Times New Roman" w:cs="Times New Roman"/>
          <w:b/>
          <w:sz w:val="24"/>
          <w:szCs w:val="24"/>
        </w:rPr>
      </w:pPr>
      <w:r w:rsidRPr="00FB53D5">
        <w:rPr>
          <w:rFonts w:ascii="Times New Roman" w:hAnsi="Times New Roman" w:cs="Times New Roman"/>
          <w:b/>
          <w:sz w:val="28"/>
          <w:szCs w:val="28"/>
        </w:rPr>
        <w:lastRenderedPageBreak/>
        <w:t>Conclusion:</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Human rights are very essential for the overall development of the human being not only at national but also at international level. But these human rights should not remain on paper. But they should be protected for the betterment of the society. In</w:t>
      </w:r>
      <w:r>
        <w:rPr>
          <w:rFonts w:ascii="Times New Roman" w:hAnsi="Times New Roman" w:cs="Times New Roman"/>
          <w:sz w:val="24"/>
          <w:szCs w:val="24"/>
        </w:rPr>
        <w:t xml:space="preserve"> </w:t>
      </w:r>
      <w:r w:rsidRPr="00FB53D5">
        <w:rPr>
          <w:rFonts w:ascii="Times New Roman" w:hAnsi="Times New Roman" w:cs="Times New Roman"/>
          <w:sz w:val="24"/>
          <w:szCs w:val="24"/>
        </w:rPr>
        <w:t>Bangladesh , we have human rights in our Constitution. Therefore, it is our duty to see that human rights become meaningful to a large number of people in this country. The role of judiciary in the protection of human rights is certainly commendable. However, in the quest for socio-economic justice the judiciary is sometimes overstepping the limits of its judicial function and trespass into the areas reserved for the legislature and the executive. However, it is also true that judicial activism is not only necessary but also it has become inevitable in nature as the judiciary in the guardian of our Constitution of  Bangladesh. Supreme Court has shown that it can go upto any extent to protect and enforce by way of incorporating various unspecified fundamental rights (human rights) into one of the most important article that is Article 145 of the Constitution.</w:t>
      </w:r>
    </w:p>
    <w:p w:rsidR="00A82859" w:rsidRPr="00FB53D5" w:rsidRDefault="00A82859" w:rsidP="00A82859">
      <w:pPr>
        <w:spacing w:line="360" w:lineRule="auto"/>
        <w:jc w:val="both"/>
        <w:rPr>
          <w:rFonts w:ascii="Times New Roman" w:hAnsi="Times New Roman" w:cs="Times New Roman"/>
          <w:sz w:val="28"/>
          <w:szCs w:val="28"/>
        </w:rPr>
      </w:pPr>
    </w:p>
    <w:p w:rsidR="00A82859" w:rsidRDefault="00A82859" w:rsidP="00A82859">
      <w:pPr>
        <w:rPr>
          <w:rFonts w:ascii="Times New Roman" w:hAnsi="Times New Roman" w:cs="Times New Roman"/>
          <w:b/>
          <w:sz w:val="28"/>
          <w:szCs w:val="28"/>
        </w:rPr>
      </w:pPr>
    </w:p>
    <w:p w:rsidR="00A82859" w:rsidRDefault="00A82859" w:rsidP="00A82859">
      <w:pPr>
        <w:rPr>
          <w:rFonts w:ascii="Times New Roman" w:hAnsi="Times New Roman" w:cs="Times New Roman"/>
          <w:b/>
          <w:sz w:val="28"/>
          <w:szCs w:val="28"/>
        </w:rPr>
      </w:pPr>
    </w:p>
    <w:p w:rsidR="00A82859" w:rsidRDefault="00A82859" w:rsidP="00A82859">
      <w:pPr>
        <w:rPr>
          <w:rFonts w:ascii="Times New Roman" w:hAnsi="Times New Roman" w:cs="Times New Roman"/>
          <w:b/>
          <w:sz w:val="28"/>
          <w:szCs w:val="28"/>
        </w:rPr>
      </w:pPr>
    </w:p>
    <w:p w:rsidR="00C424D0" w:rsidRDefault="00C424D0">
      <w:pPr>
        <w:rPr>
          <w:rFonts w:ascii="Times New Roman" w:hAnsi="Times New Roman" w:cs="Times New Roman"/>
          <w:b/>
          <w:sz w:val="28"/>
          <w:szCs w:val="28"/>
        </w:rPr>
      </w:pPr>
      <w:r>
        <w:rPr>
          <w:rFonts w:ascii="Times New Roman" w:hAnsi="Times New Roman" w:cs="Times New Roman"/>
          <w:b/>
          <w:sz w:val="28"/>
          <w:szCs w:val="28"/>
        </w:rPr>
        <w:br w:type="page"/>
      </w:r>
    </w:p>
    <w:p w:rsidR="00A82859" w:rsidRPr="000C1F11" w:rsidRDefault="000C1F11" w:rsidP="00C44A4E">
      <w:pPr>
        <w:spacing w:line="240" w:lineRule="auto"/>
        <w:jc w:val="center"/>
        <w:rPr>
          <w:rFonts w:ascii="Times New Roman" w:hAnsi="Times New Roman" w:cs="Times New Roman"/>
          <w:b/>
          <w:sz w:val="28"/>
          <w:szCs w:val="28"/>
          <w:u w:val="single"/>
        </w:rPr>
      </w:pPr>
      <w:r w:rsidRPr="000C1F11">
        <w:rPr>
          <w:rFonts w:ascii="Times New Roman" w:hAnsi="Times New Roman" w:cs="Times New Roman"/>
          <w:b/>
          <w:sz w:val="28"/>
          <w:szCs w:val="28"/>
          <w:u w:val="single"/>
        </w:rPr>
        <w:lastRenderedPageBreak/>
        <w:t xml:space="preserve">Bibliography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Article 25. The Constitution of Bangladesh</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Mondol, M. S. &amp; Mondol, R. (2006) Implementation of Fundamental Rights in Bangladesh: An Appeal to the Parliament, in Rahman</w:t>
      </w:r>
      <w:r>
        <w:rPr>
          <w:rFonts w:ascii="Times New Roman" w:hAnsi="Times New Roman" w:cs="Times New Roman"/>
          <w:sz w:val="24"/>
          <w:szCs w:val="24"/>
        </w:rPr>
        <w:t xml:space="preserve"> </w:t>
      </w:r>
      <w:r w:rsidRPr="00FB53D5">
        <w:rPr>
          <w:rFonts w:ascii="Times New Roman" w:hAnsi="Times New Roman" w:cs="Times New Roman"/>
          <w:sz w:val="24"/>
          <w:szCs w:val="24"/>
        </w:rPr>
        <w:t xml:space="preserve">, M (eds.) Human Rights and Domestic Implementation Mechanism, ELCOP, Dhaka. NHRC Act (2009) </w:t>
      </w:r>
      <w:r>
        <w:rPr>
          <w:rFonts w:ascii="Times New Roman" w:hAnsi="Times New Roman" w:cs="Times New Roman"/>
          <w:sz w:val="24"/>
          <w:szCs w:val="24"/>
        </w:rPr>
        <w:t xml:space="preserve"> </w:t>
      </w:r>
      <w:r w:rsidRPr="00FB53D5">
        <w:rPr>
          <w:rFonts w:ascii="Times New Roman" w:hAnsi="Times New Roman" w:cs="Times New Roman"/>
          <w:sz w:val="24"/>
          <w:szCs w:val="24"/>
        </w:rPr>
        <w:t>Section 4(1).</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Haque, M. E. (2011) „The Bangladesh constitutional framework and human rights‟, Dhaka University Law Journal, vol. 22, no. 1.</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Hasanat, A. (2013) „Using international law in national courts: Bangladesh perspective‟, Bangladesh Journal of Law, vol. 13, no. 1 &amp; 2.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Kazi Mukhlesur Rahman v. Bangladesh (26 DLR (SC) 44).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Sinha, S. K. (2014) Democracy and Human Rights in Bangladesh, Lecture delivered on 15th September, 2013, p.1</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Noman, A. B. M. A. (2008) „National human rights protection mechanisms in Bangladesh: an overview‟, The Chittagong University Journal of Law, vol.  XIII.</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Razia, S. (2007) „National human rights commission sees the light of the day‟, Daily Star, Dhaka, December. Saiyyid Abu A‟la Moudoodi and Others v. Federation of Pakistan (1964 PLD (SC) 673</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Bangladesh Sangbadpatra Parishad v. the Government of Bangladesh, 43 DLR (AD) 126.</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Akkas, S. A. (2003) „Judicial independence and protection of human rights in the age of globalization‟, in Rahman, M. (eds.)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Abram, M. B. (1967) „Freedom of thought, conscience and religion‟, Journal of the International Commission of Jurist, vol. 2, no. 1, p. 67.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Human Rights and Globalization, ELCOP, Dhaka. Alam, M. J. (2011) „Poverty and human rights: determining the relationship on the basis of conceptual frameworks‟,</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The Dhaka University Studies, Part-F, vol. 22.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lastRenderedPageBreak/>
        <w:t xml:space="preserve"> Alam, M. S. (2007) Enforcement of International Human Rights Law in Domestic Courts, Dhaka.</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Domestic Implementation of Human Rights Judgments in Europe: Legal Infrastructure and Government Effectiveness Matter, Oxford University Press. Article 24(1). The UN Charter, 1945.</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Article 36. The Statute of the International Courts of Justice, 1945.</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Article 62. The United Nations Charter, 1945.</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Aziz, A. (1978) Human Rights and World Order, Praeger Publisher, p. 1.</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Bailey, S. (1964) The General Assembly of the United Nations: A Study of Procedure and Practice, Praeger, New York.</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Bangladesh Sangbadpatra Parishad v. the Government of Bangladesh, 43 DLR (AD) 126.</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Bhagwati, P. N. (1990) „Fundamental Rights in their Economic, Social and Cultural Context‟, Developing Human Rights Jurisprudence, vol. 2, Commonwealth Secretariat, London.</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BNWLA v. Government of Bangladesh and Others (14 BLC (2009) 703).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Cooper, J. (1998) „Public interest law revisited‟, Bangladesh Journal of Law, vol. 2, no. 1.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Dixon, M. (2007) Textbook on International Law, 6th edn, Oxford University Press.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ECOSOC Resolution 1503 (XLVIII). Eide, A. (1987) “The Right to Adequate Food as a Human Right: Final Report”, submitted by Eide, A., UN Doc. E/CN.4/Sub.2/1987/23.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ESCR-Net (2012) „Human Rights Enforcement Mechanisms of the United Nations‟, available at: ww.escr-net.org. Fairweather, C. R. L. (1998) „International human rights law in domestic courts‟, U.C. Davis Journal of International Law and Policy.</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Goonesekere, S. (2010) „National implementation of international human rights, social inclusion and the empowerment of people‟, European Journal of International Law, vol. II, no. 3, p. 85. .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Henkin, L. (1981) „Rights: here and there‟, Columbia Law Review, vol. 81, no. 8.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lastRenderedPageBreak/>
        <w:t xml:space="preserve">Hillebrecht. (2011) „Implementing international human rights law at home: domestic politics and the European court of human rights‟, Human Rights Review, vol. 13, p. 279.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Hillebrecht (2012) „The domestic mechanisms of compliance with international human rights law: case studies from the InterAmerican human rights system‟, Human Rights Quarterly, vol. 34..</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Koh, H. H. (1999) „How Is international human rights law enforced?‟ The Indiana Law Journal, vol. 74, issue. 4, article 9.</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Lauterpacht, H. (1950) International Law and Human Rights, Praeger, F. A., New York. Lee, M. Y. K. (2008) „Universal human dignity: some reflections in the Asian context‟, Asian Journal of Comparative Law, vol. 3.</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Marie, J. B. (2003) „National system for the protection of human rights‟, in Symondes, J (eds.), Human Rights: International Protection, Monitoring and Enforcement.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Human Rights and Domestic Implementation Mechanism, ELCOP, Dhaka. NHRC Act (2009) Section 4(1).</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Nickel, J., Thomas, P., Smith, M. B. E. &amp; Wenar, L. (2013) „Human Rights‟, Stanford Encyclopedia of Philosophy..</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OHCHR (1996) „What are Human Rights?‟ available at: </w:t>
      </w:r>
      <w:hyperlink r:id="rId73" w:history="1">
        <w:r w:rsidRPr="00FB53D5">
          <w:rPr>
            <w:rStyle w:val="Hyperlink"/>
            <w:rFonts w:ascii="Times New Roman" w:hAnsi="Times New Roman" w:cs="Times New Roman"/>
            <w:sz w:val="24"/>
            <w:szCs w:val="24"/>
          </w:rPr>
          <w:t>www.ohchr.org</w:t>
        </w:r>
      </w:hyperlink>
      <w:r w:rsidRPr="00FB53D5">
        <w:rPr>
          <w:rFonts w:ascii="Times New Roman" w:hAnsi="Times New Roman" w:cs="Times New Roman"/>
          <w:sz w:val="24"/>
          <w:szCs w:val="24"/>
        </w:rPr>
        <w:t xml:space="preserve">.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 OHCHR (2012) „The United Nations human rights treaty system‟, Fact Sheet No. </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Ramlogan, R. (2010) Sustainable Development: Towards a Judicial Interpretation, Martinus Nijhoff Publishers.</w:t>
      </w:r>
    </w:p>
    <w:p w:rsidR="00A82859" w:rsidRPr="00FB53D5" w:rsidRDefault="00A82859" w:rsidP="00A82859">
      <w:pPr>
        <w:spacing w:line="360" w:lineRule="auto"/>
        <w:jc w:val="both"/>
        <w:rPr>
          <w:rFonts w:ascii="Times New Roman" w:hAnsi="Times New Roman" w:cs="Times New Roman"/>
          <w:sz w:val="24"/>
          <w:szCs w:val="24"/>
        </w:rPr>
      </w:pPr>
      <w:r w:rsidRPr="00FB53D5">
        <w:rPr>
          <w:rFonts w:ascii="Times New Roman" w:hAnsi="Times New Roman" w:cs="Times New Roman"/>
          <w:sz w:val="24"/>
          <w:szCs w:val="24"/>
        </w:rPr>
        <w:t xml:space="preserve">Saunders, P. Q. (2012) „The integrated enforcement of human rights‟, International Law and Politics, vol. 45. </w:t>
      </w:r>
    </w:p>
    <w:p w:rsidR="000C1F11" w:rsidRDefault="00A82859" w:rsidP="00A82859">
      <w:pPr>
        <w:rPr>
          <w:rFonts w:ascii="Times New Roman" w:hAnsi="Times New Roman" w:cs="Times New Roman"/>
          <w:sz w:val="24"/>
          <w:szCs w:val="24"/>
        </w:rPr>
      </w:pPr>
      <w:r w:rsidRPr="00FB53D5">
        <w:rPr>
          <w:rFonts w:ascii="Times New Roman" w:hAnsi="Times New Roman" w:cs="Times New Roman"/>
          <w:sz w:val="24"/>
          <w:szCs w:val="24"/>
        </w:rPr>
        <w:t xml:space="preserve">International Law of Human Rights, Oxford. Sieghart, P. (1984) International Law on Human Rights, Oxford. </w:t>
      </w:r>
    </w:p>
    <w:sectPr w:rsidR="000C1F11" w:rsidSect="000C1F11">
      <w:footerReference w:type="even" r:id="rId74"/>
      <w:footerReference w:type="default" r:id="rId75"/>
      <w:headerReference w:type="first" r:id="rId76"/>
      <w:footerReference w:type="first" r:id="rId77"/>
      <w:pgSz w:w="12240" w:h="15840"/>
      <w:pgMar w:top="1440" w:right="1440" w:bottom="1440" w:left="1440" w:header="720" w:footer="720" w:gutter="0"/>
      <w:pgNumType w:chapStyle="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1092" w:rsidRDefault="00271092" w:rsidP="00601EB0">
      <w:pPr>
        <w:spacing w:after="0" w:line="240" w:lineRule="auto"/>
      </w:pPr>
      <w:r>
        <w:separator/>
      </w:r>
    </w:p>
  </w:endnote>
  <w:endnote w:type="continuationSeparator" w:id="1">
    <w:p w:rsidR="00271092" w:rsidRDefault="00271092" w:rsidP="00601E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exusSansWebPro">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11" w:rsidRDefault="000C1F11" w:rsidP="0037477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C1F11" w:rsidRDefault="000C1F1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11" w:rsidRDefault="000C1F11">
    <w:pPr>
      <w:pStyle w:val="Footer"/>
      <w:jc w:val="center"/>
    </w:pPr>
  </w:p>
  <w:p w:rsidR="000C1F11" w:rsidRDefault="000C1F11">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11" w:rsidRDefault="000C1F11">
    <w:pPr>
      <w:pStyle w:val="Footer"/>
    </w:pPr>
  </w:p>
  <w:p w:rsidR="000C1F11" w:rsidRDefault="000C1F1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1092" w:rsidRDefault="00271092" w:rsidP="00601EB0">
      <w:pPr>
        <w:spacing w:after="0" w:line="240" w:lineRule="auto"/>
      </w:pPr>
      <w:r>
        <w:separator/>
      </w:r>
    </w:p>
  </w:footnote>
  <w:footnote w:type="continuationSeparator" w:id="1">
    <w:p w:rsidR="00271092" w:rsidRDefault="00271092" w:rsidP="00601EB0">
      <w:pPr>
        <w:spacing w:after="0" w:line="240" w:lineRule="auto"/>
      </w:pPr>
      <w:r>
        <w:continuationSeparator/>
      </w:r>
    </w:p>
  </w:footnote>
  <w:footnote w:id="2">
    <w:p w:rsidR="000C1F11" w:rsidRPr="008246BF" w:rsidRDefault="000C1F11" w:rsidP="00A82859">
      <w:pPr>
        <w:pStyle w:val="FootnoteText"/>
      </w:pPr>
      <w:r w:rsidRPr="008246BF">
        <w:rPr>
          <w:rStyle w:val="FootnoteReference"/>
        </w:rPr>
        <w:footnoteRef/>
      </w:r>
      <w:r w:rsidRPr="008246BF">
        <w:t xml:space="preserve"> </w:t>
      </w:r>
      <w:r w:rsidRPr="008246BF">
        <w:rPr>
          <w:rFonts w:ascii="Times New Roman" w:hAnsi="Times New Roman" w:cs="Times New Roman"/>
        </w:rPr>
        <w:t>Dixon, M. (2007) Textbook on International Law, 6th edn, Oxford University Press</w:t>
      </w:r>
    </w:p>
  </w:footnote>
  <w:footnote w:id="3">
    <w:p w:rsidR="000C1F11" w:rsidRPr="00FB53D5" w:rsidRDefault="000C1F11" w:rsidP="00A82859">
      <w:pPr>
        <w:spacing w:line="360" w:lineRule="auto"/>
        <w:jc w:val="both"/>
        <w:rPr>
          <w:rFonts w:ascii="Times New Roman" w:hAnsi="Times New Roman" w:cs="Times New Roman"/>
          <w:sz w:val="24"/>
          <w:szCs w:val="24"/>
        </w:rPr>
      </w:pPr>
      <w:r w:rsidRPr="008246BF">
        <w:rPr>
          <w:rStyle w:val="FootnoteReference"/>
        </w:rPr>
        <w:footnoteRef/>
      </w:r>
      <w:r w:rsidRPr="008246BF">
        <w:rPr>
          <w:sz w:val="20"/>
          <w:szCs w:val="20"/>
        </w:rPr>
        <w:t xml:space="preserve"> </w:t>
      </w:r>
      <w:r w:rsidRPr="008246BF">
        <w:rPr>
          <w:rFonts w:ascii="Times New Roman" w:hAnsi="Times New Roman" w:cs="Times New Roman"/>
          <w:sz w:val="20"/>
          <w:szCs w:val="20"/>
        </w:rPr>
        <w:t>Hillebrecht. (2011) „Implementing international human rights law at home: domestic politics and the European court of human rights‟, Human Rights Review, vol. 13, p. 279</w:t>
      </w:r>
      <w:r w:rsidRPr="00FB53D5">
        <w:rPr>
          <w:rFonts w:ascii="Times New Roman" w:hAnsi="Times New Roman" w:cs="Times New Roman"/>
          <w:sz w:val="24"/>
          <w:szCs w:val="24"/>
        </w:rPr>
        <w:t xml:space="preserve">. </w:t>
      </w:r>
    </w:p>
    <w:p w:rsidR="000C1F11" w:rsidRDefault="000C1F11" w:rsidP="00A82859">
      <w:pPr>
        <w:pStyle w:val="FootnoteText"/>
      </w:pPr>
    </w:p>
  </w:footnote>
  <w:footnote w:id="4">
    <w:p w:rsidR="000C1F11" w:rsidRPr="008246BF" w:rsidRDefault="000C1F11" w:rsidP="00A82859">
      <w:pPr>
        <w:spacing w:line="360" w:lineRule="auto"/>
        <w:jc w:val="both"/>
        <w:rPr>
          <w:rFonts w:ascii="Times New Roman" w:hAnsi="Times New Roman" w:cs="Times New Roman"/>
          <w:sz w:val="20"/>
          <w:szCs w:val="20"/>
        </w:rPr>
      </w:pPr>
      <w:r>
        <w:rPr>
          <w:rStyle w:val="FootnoteReference"/>
        </w:rPr>
        <w:footnoteRef/>
      </w:r>
      <w:r>
        <w:t xml:space="preserve"> </w:t>
      </w:r>
      <w:r w:rsidRPr="008246BF">
        <w:rPr>
          <w:rFonts w:ascii="Times New Roman" w:hAnsi="Times New Roman" w:cs="Times New Roman"/>
          <w:sz w:val="20"/>
          <w:szCs w:val="20"/>
        </w:rPr>
        <w:t>Hillebrecht (2012) „The domestic mechanisms of compliance with international human rights law: case studies from the InterAmerican human rights system‟, Human Rights Quarterly, vol. 34..</w:t>
      </w:r>
    </w:p>
    <w:p w:rsidR="000C1F11" w:rsidRDefault="000C1F11" w:rsidP="00A82859">
      <w:pPr>
        <w:pStyle w:val="FootnoteText"/>
      </w:pPr>
    </w:p>
  </w:footnote>
  <w:footnote w:id="5">
    <w:p w:rsidR="000C1F11" w:rsidRPr="008246BF" w:rsidRDefault="000C1F11" w:rsidP="00A82859">
      <w:pPr>
        <w:spacing w:line="360" w:lineRule="auto"/>
        <w:jc w:val="both"/>
        <w:rPr>
          <w:rFonts w:ascii="Times New Roman" w:hAnsi="Times New Roman" w:cs="Times New Roman"/>
          <w:sz w:val="20"/>
          <w:szCs w:val="20"/>
        </w:rPr>
      </w:pPr>
      <w:r>
        <w:rPr>
          <w:rStyle w:val="FootnoteReference"/>
        </w:rPr>
        <w:footnoteRef/>
      </w:r>
      <w:r>
        <w:t xml:space="preserve"> </w:t>
      </w:r>
      <w:r w:rsidRPr="008246BF">
        <w:rPr>
          <w:rFonts w:ascii="Times New Roman" w:hAnsi="Times New Roman" w:cs="Times New Roman"/>
          <w:sz w:val="20"/>
          <w:szCs w:val="20"/>
        </w:rPr>
        <w:t xml:space="preserve">Marie, J. B. (2003) „National system for the protection of human rights‟, in Symondes, J (eds.), Human Rights: International Protection, Monitoring and Enforcement. </w:t>
      </w:r>
    </w:p>
    <w:p w:rsidR="000C1F11" w:rsidRPr="008246BF" w:rsidRDefault="000C1F11" w:rsidP="00A82859">
      <w:pPr>
        <w:spacing w:line="360" w:lineRule="auto"/>
        <w:jc w:val="both"/>
        <w:rPr>
          <w:rFonts w:ascii="Times New Roman" w:hAnsi="Times New Roman" w:cs="Times New Roman"/>
          <w:sz w:val="20"/>
          <w:szCs w:val="20"/>
        </w:rPr>
      </w:pPr>
      <w:r w:rsidRPr="008246BF">
        <w:rPr>
          <w:rFonts w:ascii="Times New Roman" w:hAnsi="Times New Roman" w:cs="Times New Roman"/>
          <w:sz w:val="20"/>
          <w:szCs w:val="20"/>
        </w:rPr>
        <w:t>Human Rights and Domestic Implementation Mechanism, ELCOP, Dhaka. NHRC Act (2009) Section 4(1).</w:t>
      </w:r>
    </w:p>
    <w:p w:rsidR="000C1F11" w:rsidRDefault="000C1F11" w:rsidP="00A82859">
      <w:pPr>
        <w:pStyle w:val="FootnoteText"/>
      </w:pPr>
    </w:p>
  </w:footnote>
  <w:footnote w:id="6">
    <w:p w:rsidR="000C1F11" w:rsidRPr="00FB53D5" w:rsidRDefault="000C1F11" w:rsidP="00A82859">
      <w:pPr>
        <w:spacing w:line="360" w:lineRule="auto"/>
        <w:jc w:val="both"/>
        <w:rPr>
          <w:rFonts w:ascii="Times New Roman" w:hAnsi="Times New Roman" w:cs="Times New Roman"/>
          <w:sz w:val="24"/>
          <w:szCs w:val="24"/>
        </w:rPr>
      </w:pPr>
      <w:r>
        <w:rPr>
          <w:rStyle w:val="FootnoteReference"/>
        </w:rPr>
        <w:footnoteRef/>
      </w:r>
      <w:r>
        <w:t xml:space="preserve"> </w:t>
      </w:r>
      <w:r w:rsidRPr="00AB36E0">
        <w:rPr>
          <w:rFonts w:ascii="Times New Roman" w:hAnsi="Times New Roman" w:cs="Times New Roman"/>
          <w:sz w:val="20"/>
          <w:szCs w:val="20"/>
        </w:rPr>
        <w:t>Article 62. The United Nations Charter, 1945</w:t>
      </w:r>
      <w:r w:rsidRPr="00FB53D5">
        <w:rPr>
          <w:rFonts w:ascii="Times New Roman" w:hAnsi="Times New Roman" w:cs="Times New Roman"/>
          <w:sz w:val="24"/>
          <w:szCs w:val="24"/>
        </w:rPr>
        <w:t>.</w:t>
      </w:r>
    </w:p>
    <w:p w:rsidR="000C1F11" w:rsidRDefault="000C1F11" w:rsidP="00A82859">
      <w:pPr>
        <w:pStyle w:val="FootnoteText"/>
      </w:pPr>
    </w:p>
  </w:footnote>
  <w:footnote w:id="7">
    <w:p w:rsidR="000C1F11" w:rsidRDefault="000C1F11" w:rsidP="00A82859">
      <w:pPr>
        <w:pStyle w:val="FootnoteText"/>
      </w:pPr>
      <w:r>
        <w:rPr>
          <w:rStyle w:val="FootnoteReference"/>
        </w:rPr>
        <w:footnoteRef/>
      </w:r>
      <w:r>
        <w:t xml:space="preserve"> </w:t>
      </w:r>
      <w:r w:rsidRPr="00AB36E0">
        <w:rPr>
          <w:rFonts w:ascii="Times New Roman" w:hAnsi="Times New Roman" w:cs="Times New Roman"/>
        </w:rPr>
        <w:t>OHCHR (2012) „The United Nations human rights treaty system‟, Fact Sheet No</w:t>
      </w:r>
      <w:r w:rsidRPr="00FB53D5">
        <w:rPr>
          <w:rFonts w:ascii="Times New Roman" w:hAnsi="Times New Roman" w:cs="Times New Roman"/>
          <w:sz w:val="24"/>
          <w:szCs w:val="24"/>
        </w:rPr>
        <w:t>.</w:t>
      </w:r>
    </w:p>
  </w:footnote>
  <w:footnote w:id="8">
    <w:p w:rsidR="000C1F11" w:rsidRPr="00FB53D5" w:rsidRDefault="000C1F11" w:rsidP="00A82859">
      <w:pPr>
        <w:spacing w:line="360" w:lineRule="auto"/>
        <w:jc w:val="both"/>
        <w:rPr>
          <w:rFonts w:ascii="Times New Roman" w:hAnsi="Times New Roman" w:cs="Times New Roman"/>
          <w:sz w:val="24"/>
          <w:szCs w:val="24"/>
        </w:rPr>
      </w:pPr>
      <w:r>
        <w:rPr>
          <w:rStyle w:val="FootnoteReference"/>
        </w:rPr>
        <w:footnoteRef/>
      </w:r>
      <w:r>
        <w:t xml:space="preserve"> </w:t>
      </w:r>
      <w:r w:rsidRPr="00AB36E0">
        <w:rPr>
          <w:rFonts w:ascii="Times New Roman" w:hAnsi="Times New Roman" w:cs="Times New Roman"/>
          <w:sz w:val="20"/>
          <w:szCs w:val="20"/>
        </w:rPr>
        <w:t>ESCR-Net (2012) „Human Rights Enforcement Mechanisms of the United Nations‟, available at: ww.escr-net.org. Fairweather, C. R. L. (1998) „International human rights law in domestic courts‟, U.C. Davis Journal of International Law and Policy</w:t>
      </w:r>
      <w:r w:rsidRPr="00FB53D5">
        <w:rPr>
          <w:rFonts w:ascii="Times New Roman" w:hAnsi="Times New Roman" w:cs="Times New Roman"/>
          <w:sz w:val="24"/>
          <w:szCs w:val="24"/>
        </w:rPr>
        <w:t>.</w:t>
      </w:r>
    </w:p>
    <w:p w:rsidR="000C1F11" w:rsidRDefault="000C1F11" w:rsidP="00A82859">
      <w:pPr>
        <w:pStyle w:val="FootnoteText"/>
      </w:pPr>
    </w:p>
  </w:footnote>
  <w:footnote w:id="9">
    <w:p w:rsidR="000C1F11" w:rsidRDefault="000C1F11" w:rsidP="00A82859">
      <w:pPr>
        <w:pStyle w:val="FootnoteText"/>
      </w:pPr>
      <w:r>
        <w:rPr>
          <w:rStyle w:val="FootnoteReference"/>
        </w:rPr>
        <w:footnoteRef/>
      </w:r>
      <w:r>
        <w:t xml:space="preserve"> </w:t>
      </w:r>
      <w:r w:rsidRPr="004474B9">
        <w:t>Article 25. The Constitution of Bangladesh</w:t>
      </w:r>
    </w:p>
  </w:footnote>
  <w:footnote w:id="10">
    <w:p w:rsidR="000C1F11" w:rsidRPr="004474B9" w:rsidRDefault="000C1F11" w:rsidP="00A82859">
      <w:pPr>
        <w:spacing w:line="360" w:lineRule="auto"/>
        <w:jc w:val="both"/>
        <w:rPr>
          <w:rFonts w:ascii="Times New Roman" w:hAnsi="Times New Roman" w:cs="Times New Roman"/>
          <w:sz w:val="20"/>
          <w:szCs w:val="20"/>
        </w:rPr>
      </w:pPr>
      <w:r>
        <w:rPr>
          <w:rStyle w:val="FootnoteReference"/>
        </w:rPr>
        <w:footnoteRef/>
      </w:r>
      <w:r>
        <w:t xml:space="preserve"> </w:t>
      </w:r>
      <w:r w:rsidRPr="004474B9">
        <w:rPr>
          <w:rFonts w:ascii="Times New Roman" w:hAnsi="Times New Roman" w:cs="Times New Roman"/>
          <w:sz w:val="20"/>
          <w:szCs w:val="20"/>
        </w:rPr>
        <w:t xml:space="preserve">Cooper, J. (1998) „Public interest law revisited‟, Bangladesh Journal of Law, vol. 2, no. 1. </w:t>
      </w:r>
    </w:p>
    <w:p w:rsidR="000C1F11" w:rsidRPr="004474B9" w:rsidRDefault="000C1F11" w:rsidP="00A82859">
      <w:pPr>
        <w:spacing w:line="360" w:lineRule="auto"/>
        <w:jc w:val="both"/>
        <w:rPr>
          <w:rFonts w:ascii="Times New Roman" w:hAnsi="Times New Roman" w:cs="Times New Roman"/>
          <w:sz w:val="20"/>
          <w:szCs w:val="20"/>
        </w:rPr>
      </w:pPr>
    </w:p>
    <w:p w:rsidR="000C1F11" w:rsidRDefault="000C1F11" w:rsidP="00A82859">
      <w:pPr>
        <w:pStyle w:val="FootnoteText"/>
      </w:pPr>
    </w:p>
  </w:footnote>
  <w:footnote w:id="11">
    <w:p w:rsidR="000C1F11" w:rsidRPr="00FB53D5" w:rsidRDefault="000C1F11" w:rsidP="00A82859">
      <w:pPr>
        <w:spacing w:line="360" w:lineRule="auto"/>
        <w:jc w:val="both"/>
        <w:rPr>
          <w:rFonts w:ascii="Times New Roman" w:hAnsi="Times New Roman" w:cs="Times New Roman"/>
          <w:sz w:val="24"/>
          <w:szCs w:val="24"/>
        </w:rPr>
      </w:pPr>
      <w:r>
        <w:rPr>
          <w:rStyle w:val="FootnoteReference"/>
        </w:rPr>
        <w:footnoteRef/>
      </w:r>
      <w:r>
        <w:t xml:space="preserve"> </w:t>
      </w:r>
      <w:r w:rsidRPr="004474B9">
        <w:rPr>
          <w:rFonts w:ascii="Times New Roman" w:hAnsi="Times New Roman" w:cs="Times New Roman"/>
          <w:sz w:val="20"/>
          <w:szCs w:val="20"/>
        </w:rPr>
        <w:t>Noman, A. B. M. A. (2008) „National human rights protection mechanisms in Bangladesh: an overview‟, The Chittagong University Journal of Law, vol.  XIII.</w:t>
      </w:r>
    </w:p>
    <w:p w:rsidR="000C1F11" w:rsidRDefault="000C1F11" w:rsidP="00A82859">
      <w:pPr>
        <w:pStyle w:val="FootnoteText"/>
      </w:pPr>
    </w:p>
  </w:footnote>
  <w:footnote w:id="12">
    <w:p w:rsidR="000C1F11" w:rsidRPr="00FB53D5" w:rsidRDefault="000C1F11" w:rsidP="00A82859">
      <w:pPr>
        <w:spacing w:line="360" w:lineRule="auto"/>
        <w:jc w:val="both"/>
        <w:rPr>
          <w:rFonts w:ascii="Times New Roman" w:hAnsi="Times New Roman" w:cs="Times New Roman"/>
          <w:sz w:val="24"/>
          <w:szCs w:val="24"/>
        </w:rPr>
      </w:pPr>
      <w:r>
        <w:rPr>
          <w:rStyle w:val="FootnoteReference"/>
        </w:rPr>
        <w:footnoteRef/>
      </w:r>
      <w:r>
        <w:t xml:space="preserve"> </w:t>
      </w:r>
      <w:r w:rsidRPr="00FB53D5">
        <w:rPr>
          <w:rFonts w:ascii="Times New Roman" w:hAnsi="Times New Roman" w:cs="Times New Roman"/>
          <w:sz w:val="24"/>
          <w:szCs w:val="24"/>
        </w:rPr>
        <w:t>Human Rights and Domestic Implementation Mechanism, ELCOP, Dhaka. NHRC Act (2009) Section 4(1).</w:t>
      </w:r>
    </w:p>
    <w:p w:rsidR="000C1F11" w:rsidRDefault="000C1F11" w:rsidP="00A82859">
      <w:pPr>
        <w:pStyle w:val="FootnoteText"/>
      </w:pPr>
    </w:p>
  </w:footnote>
  <w:footnote w:id="13">
    <w:p w:rsidR="000C1F11" w:rsidRPr="00FB53D5" w:rsidRDefault="000C1F11" w:rsidP="00A82859">
      <w:pPr>
        <w:spacing w:line="360" w:lineRule="auto"/>
        <w:jc w:val="both"/>
        <w:rPr>
          <w:rFonts w:ascii="Times New Roman" w:hAnsi="Times New Roman" w:cs="Times New Roman"/>
          <w:sz w:val="24"/>
          <w:szCs w:val="24"/>
        </w:rPr>
      </w:pPr>
      <w:r w:rsidRPr="004474B9">
        <w:rPr>
          <w:rStyle w:val="FootnoteReference"/>
        </w:rPr>
        <w:footnoteRef/>
      </w:r>
      <w:r w:rsidRPr="004474B9">
        <w:rPr>
          <w:sz w:val="20"/>
          <w:szCs w:val="20"/>
        </w:rPr>
        <w:t xml:space="preserve"> </w:t>
      </w:r>
      <w:r w:rsidRPr="004474B9">
        <w:rPr>
          <w:rFonts w:ascii="Times New Roman" w:hAnsi="Times New Roman" w:cs="Times New Roman"/>
          <w:sz w:val="20"/>
          <w:szCs w:val="20"/>
        </w:rPr>
        <w:t>Alam, M. S. (2007) Enforcement of International Human Rights Law in Domestic Courts, Dhaka</w:t>
      </w:r>
      <w:r w:rsidRPr="00FB53D5">
        <w:rPr>
          <w:rFonts w:ascii="Times New Roman" w:hAnsi="Times New Roman" w:cs="Times New Roman"/>
          <w:sz w:val="24"/>
          <w:szCs w:val="24"/>
        </w:rPr>
        <w:t>.</w:t>
      </w:r>
    </w:p>
    <w:p w:rsidR="000C1F11" w:rsidRDefault="000C1F11" w:rsidP="00A82859">
      <w:pPr>
        <w:pStyle w:val="FootnoteText"/>
      </w:pPr>
    </w:p>
  </w:footnote>
  <w:footnote w:id="14">
    <w:p w:rsidR="000C1F11" w:rsidRPr="004474B9" w:rsidRDefault="000C1F11" w:rsidP="00A82859">
      <w:pPr>
        <w:pStyle w:val="FootnoteText"/>
      </w:pPr>
      <w:r>
        <w:rPr>
          <w:rStyle w:val="FootnoteReference"/>
        </w:rPr>
        <w:footnoteRef/>
      </w:r>
      <w:r>
        <w:t xml:space="preserve"> </w:t>
      </w:r>
      <w:r w:rsidRPr="004474B9">
        <w:rPr>
          <w:rFonts w:ascii="Times New Roman" w:hAnsi="Times New Roman" w:cs="Times New Roman"/>
        </w:rPr>
        <w:t>Human Rights and Globalization, ELCOP, Dhaka. Alam, M. J. (2011) „Poverty and human rights: determining the relationship on the basis of conceptual frameworks</w:t>
      </w:r>
    </w:p>
  </w:footnote>
  <w:footnote w:id="15">
    <w:p w:rsidR="000C1F11" w:rsidRDefault="000C1F11" w:rsidP="00A82859">
      <w:pPr>
        <w:spacing w:line="360" w:lineRule="auto"/>
        <w:jc w:val="both"/>
        <w:rPr>
          <w:rFonts w:ascii="Times New Roman" w:hAnsi="Times New Roman" w:cs="Times New Roman"/>
          <w:sz w:val="20"/>
          <w:szCs w:val="20"/>
        </w:rPr>
      </w:pPr>
      <w:r>
        <w:rPr>
          <w:rStyle w:val="FootnoteReference"/>
        </w:rPr>
        <w:footnoteRef/>
      </w:r>
      <w:r>
        <w:t xml:space="preserve"> </w:t>
      </w:r>
      <w:r w:rsidRPr="00D40C02">
        <w:rPr>
          <w:rFonts w:ascii="Times New Roman" w:hAnsi="Times New Roman" w:cs="Times New Roman"/>
          <w:sz w:val="20"/>
          <w:szCs w:val="20"/>
        </w:rPr>
        <w:t>Mondol, M. S. &amp; Mondol, R. (2006) Implementation of Fundamental Rights in Bangladesh: An Appeal to the Parliament, in Rahman, M (eds.)</w:t>
      </w:r>
      <w:r>
        <w:rPr>
          <w:rFonts w:ascii="Times New Roman" w:hAnsi="Times New Roman" w:cs="Times New Roman"/>
          <w:sz w:val="20"/>
          <w:szCs w:val="20"/>
        </w:rPr>
        <w:t xml:space="preserve">   </w:t>
      </w:r>
    </w:p>
    <w:p w:rsidR="000C1F11" w:rsidRPr="00D40C02" w:rsidRDefault="000C1F11" w:rsidP="00A82859">
      <w:pPr>
        <w:spacing w:line="360" w:lineRule="auto"/>
        <w:jc w:val="both"/>
        <w:rPr>
          <w:rFonts w:ascii="Times New Roman" w:hAnsi="Times New Roman" w:cs="Times New Roman"/>
          <w:sz w:val="20"/>
          <w:szCs w:val="20"/>
        </w:rPr>
      </w:pPr>
      <w:r w:rsidRPr="00D40C02">
        <w:rPr>
          <w:rFonts w:ascii="Times New Roman" w:hAnsi="Times New Roman" w:cs="Times New Roman"/>
          <w:sz w:val="20"/>
          <w:szCs w:val="20"/>
        </w:rPr>
        <w:t xml:space="preserve"> Human Rights and Domestic Implementation Mechanism, ELCOP, Dhaka. NHRC Act (2009) Section 4(1).</w:t>
      </w:r>
    </w:p>
    <w:p w:rsidR="000C1F11" w:rsidRDefault="000C1F11" w:rsidP="00A82859">
      <w:pPr>
        <w:pStyle w:val="FootnoteText"/>
      </w:pPr>
    </w:p>
  </w:footnote>
  <w:footnote w:id="16">
    <w:p w:rsidR="000C1F11" w:rsidRDefault="000C1F11" w:rsidP="00A82859">
      <w:pPr>
        <w:spacing w:line="360" w:lineRule="auto"/>
        <w:jc w:val="both"/>
        <w:rPr>
          <w:rFonts w:ascii="Times New Roman" w:hAnsi="Times New Roman" w:cs="Times New Roman"/>
          <w:sz w:val="20"/>
          <w:szCs w:val="20"/>
        </w:rPr>
      </w:pPr>
      <w:r>
        <w:rPr>
          <w:rStyle w:val="FootnoteReference"/>
        </w:rPr>
        <w:footnoteRef/>
      </w:r>
      <w:r>
        <w:t xml:space="preserve"> </w:t>
      </w:r>
      <w:r w:rsidRPr="00FB53D5">
        <w:rPr>
          <w:rFonts w:ascii="Times New Roman" w:hAnsi="Times New Roman" w:cs="Times New Roman"/>
          <w:sz w:val="24"/>
          <w:szCs w:val="24"/>
        </w:rPr>
        <w:t>Akk</w:t>
      </w:r>
      <w:r w:rsidRPr="003550AE">
        <w:rPr>
          <w:rFonts w:ascii="Times New Roman" w:hAnsi="Times New Roman" w:cs="Times New Roman"/>
          <w:sz w:val="20"/>
          <w:szCs w:val="20"/>
        </w:rPr>
        <w:t xml:space="preserve">as, S. A. (2003) „Judicial independence and protection of human rights in the age of globalization‟, in Rahman, M. (eds </w:t>
      </w:r>
    </w:p>
    <w:p w:rsidR="000C1F11" w:rsidRPr="00D40C02" w:rsidRDefault="000C1F11" w:rsidP="00A82859">
      <w:pPr>
        <w:spacing w:line="360" w:lineRule="auto"/>
        <w:jc w:val="both"/>
        <w:rPr>
          <w:rFonts w:ascii="Times New Roman" w:hAnsi="Times New Roman" w:cs="Times New Roman"/>
          <w:sz w:val="20"/>
          <w:szCs w:val="20"/>
        </w:rPr>
      </w:pPr>
      <w:r w:rsidRPr="00D40C02">
        <w:rPr>
          <w:rFonts w:ascii="Times New Roman" w:hAnsi="Times New Roman" w:cs="Times New Roman"/>
          <w:sz w:val="20"/>
          <w:szCs w:val="20"/>
        </w:rPr>
        <w:t>September, 2013 Sinha, S. K. (2014) Democracy and Human Rights in Bangladesh, Lecture delivered on 15th, p.1</w:t>
      </w:r>
    </w:p>
    <w:p w:rsidR="000C1F11" w:rsidRDefault="000C1F11" w:rsidP="00A82859">
      <w:pPr>
        <w:pStyle w:val="FootnoteText"/>
      </w:pPr>
    </w:p>
  </w:footnote>
  <w:footnote w:id="17">
    <w:p w:rsidR="000C1F11" w:rsidRPr="0020367C" w:rsidRDefault="000C1F11" w:rsidP="0020367C">
      <w:pPr>
        <w:pStyle w:val="FootnoteText"/>
        <w:rPr>
          <w:rFonts w:ascii="Times New Roman" w:hAnsi="Times New Roman"/>
        </w:rPr>
      </w:pPr>
      <w:r w:rsidRPr="0020367C">
        <w:rPr>
          <w:rStyle w:val="FootnoteReference"/>
          <w:rFonts w:ascii="Times New Roman" w:hAnsi="Times New Roman"/>
        </w:rPr>
        <w:footnoteRef/>
      </w:r>
      <w:r w:rsidRPr="0020367C">
        <w:rPr>
          <w:rFonts w:ascii="Times New Roman" w:hAnsi="Times New Roman"/>
        </w:rPr>
        <w:t xml:space="preserve"> Constitution of the United States</w:t>
      </w:r>
    </w:p>
  </w:footnote>
  <w:footnote w:id="18">
    <w:p w:rsidR="000C1F11" w:rsidRPr="0020367C" w:rsidRDefault="000C1F11" w:rsidP="0020367C">
      <w:pPr>
        <w:pStyle w:val="FootnoteText"/>
        <w:rPr>
          <w:rFonts w:ascii="Times New Roman" w:hAnsi="Times New Roman"/>
        </w:rPr>
      </w:pPr>
      <w:r w:rsidRPr="0020367C">
        <w:rPr>
          <w:rStyle w:val="FootnoteReference"/>
          <w:rFonts w:ascii="Times New Roman" w:hAnsi="Times New Roman"/>
        </w:rPr>
        <w:footnoteRef/>
      </w:r>
      <w:r w:rsidRPr="0020367C">
        <w:rPr>
          <w:rFonts w:ascii="Times New Roman" w:hAnsi="Times New Roman"/>
        </w:rPr>
        <w:t xml:space="preserve"> amendments</w:t>
      </w:r>
    </w:p>
  </w:footnote>
  <w:footnote w:id="19">
    <w:p w:rsidR="000C1F11" w:rsidRPr="0020367C" w:rsidRDefault="000C1F11" w:rsidP="0020367C">
      <w:pPr>
        <w:pStyle w:val="NormalWeb"/>
        <w:shd w:val="clear" w:color="auto" w:fill="FFFFFF"/>
        <w:spacing w:before="120" w:beforeAutospacing="0" w:after="120" w:afterAutospacing="0"/>
        <w:jc w:val="both"/>
        <w:rPr>
          <w:sz w:val="20"/>
          <w:szCs w:val="20"/>
        </w:rPr>
      </w:pPr>
      <w:r w:rsidRPr="0020367C">
        <w:rPr>
          <w:rStyle w:val="FootnoteReference"/>
          <w:sz w:val="20"/>
          <w:szCs w:val="20"/>
        </w:rPr>
        <w:footnoteRef/>
      </w:r>
      <w:r w:rsidRPr="0020367C">
        <w:rPr>
          <w:sz w:val="20"/>
          <w:szCs w:val="20"/>
        </w:rPr>
        <w:t xml:space="preserve"> law of the United States</w:t>
      </w:r>
      <w:r w:rsidRPr="0020367C">
        <w:rPr>
          <w:rStyle w:val="FootnoteReference"/>
          <w:sz w:val="20"/>
          <w:szCs w:val="20"/>
        </w:rPr>
        <w:footnoteRef/>
      </w:r>
      <w:r w:rsidRPr="0020367C">
        <w:rPr>
          <w:sz w:val="20"/>
          <w:szCs w:val="20"/>
        </w:rPr>
        <w:t>.</w:t>
      </w:r>
    </w:p>
  </w:footnote>
  <w:footnote w:id="20">
    <w:p w:rsidR="000C1F11" w:rsidRPr="0020367C" w:rsidRDefault="000C1F11" w:rsidP="0020367C">
      <w:pPr>
        <w:pStyle w:val="FootnoteText"/>
        <w:rPr>
          <w:rFonts w:ascii="Times New Roman" w:hAnsi="Times New Roman"/>
        </w:rPr>
      </w:pPr>
      <w:r w:rsidRPr="0020367C">
        <w:rPr>
          <w:rStyle w:val="FootnoteReference"/>
          <w:rFonts w:ascii="Times New Roman" w:hAnsi="Times New Roman"/>
        </w:rPr>
        <w:footnoteRef/>
      </w:r>
      <w:r w:rsidRPr="0020367C">
        <w:rPr>
          <w:rFonts w:ascii="Times New Roman" w:hAnsi="Times New Roman"/>
        </w:rPr>
        <w:t xml:space="preserve"> imprisoning people for debt</w:t>
      </w:r>
    </w:p>
  </w:footnote>
  <w:footnote w:id="21">
    <w:p w:rsidR="000C1F11" w:rsidRPr="007111C6" w:rsidRDefault="000C1F11" w:rsidP="0020367C">
      <w:pPr>
        <w:pStyle w:val="FootnoteText"/>
      </w:pPr>
      <w:r w:rsidRPr="0020367C">
        <w:rPr>
          <w:rStyle w:val="FootnoteReference"/>
          <w:rFonts w:ascii="Times New Roman" w:hAnsi="Times New Roman"/>
        </w:rPr>
        <w:footnoteRef/>
      </w:r>
      <w:r w:rsidRPr="0020367C">
        <w:rPr>
          <w:rFonts w:ascii="Times New Roman" w:hAnsi="Times New Roman"/>
        </w:rPr>
        <w:t xml:space="preserve"> </w:t>
      </w:r>
      <w:r w:rsidRPr="0020367C">
        <w:rPr>
          <w:rStyle w:val="apple-converted-space"/>
          <w:rFonts w:ascii="Times New Roman" w:hAnsi="Times New Roman"/>
        </w:rPr>
        <w:t> </w:t>
      </w:r>
      <w:r w:rsidRPr="0020367C">
        <w:rPr>
          <w:rFonts w:ascii="Times New Roman" w:hAnsi="Times New Roman"/>
        </w:rPr>
        <w:t>shutting off water to impoverished citizens who cannot afford it</w:t>
      </w:r>
    </w:p>
  </w:footnote>
  <w:footnote w:id="22">
    <w:p w:rsidR="000C1F11" w:rsidRPr="00BC4951" w:rsidRDefault="000C1F11" w:rsidP="007526A8">
      <w:pPr>
        <w:pStyle w:val="FootnoteText"/>
      </w:pPr>
      <w:r>
        <w:rPr>
          <w:rStyle w:val="FootnoteReference"/>
        </w:rPr>
        <w:footnoteRef/>
      </w:r>
      <w:r>
        <w:t xml:space="preserve"> </w:t>
      </w:r>
      <w:r w:rsidRPr="009F5ADB">
        <w:t>Guantanamo Bay.</w:t>
      </w:r>
    </w:p>
  </w:footnote>
  <w:footnote w:id="23">
    <w:p w:rsidR="000C1F11" w:rsidRPr="00BC4951" w:rsidRDefault="000C1F11" w:rsidP="007526A8">
      <w:pPr>
        <w:pStyle w:val="FootnoteText"/>
      </w:pPr>
      <w:r>
        <w:rPr>
          <w:rStyle w:val="FootnoteReference"/>
        </w:rPr>
        <w:footnoteRef/>
      </w:r>
      <w:r>
        <w:t xml:space="preserve"> </w:t>
      </w:r>
      <w:hyperlink r:id="rId1" w:tooltip="Life, liberty and the pursuit of happiness" w:history="1">
        <w:r w:rsidRPr="00BC4951">
          <w:rPr>
            <w:rFonts w:ascii="Times New Roman" w:eastAsia="Times New Roman" w:hAnsi="Times New Roman" w:cs="Times New Roman"/>
          </w:rPr>
          <w:t>Life, Liberty and the pursuit of Happiness</w:t>
        </w:r>
      </w:hyperlink>
    </w:p>
  </w:footnote>
  <w:footnote w:id="24">
    <w:p w:rsidR="000C1F11" w:rsidRPr="006A7EE3" w:rsidRDefault="000C1F11" w:rsidP="007526A8">
      <w:pPr>
        <w:pStyle w:val="FootnoteText"/>
      </w:pPr>
      <w:r>
        <w:rPr>
          <w:rStyle w:val="FootnoteReference"/>
        </w:rPr>
        <w:footnoteRef/>
      </w:r>
      <w:r>
        <w:t xml:space="preserve"> </w:t>
      </w:r>
      <w:r w:rsidRPr="006A7EE3">
        <w:rPr>
          <w:rFonts w:ascii="Times New Roman" w:eastAsia="Times New Roman" w:hAnsi="Times New Roman" w:cs="Times New Roman"/>
        </w:rPr>
        <w:t>In 1756 </w:t>
      </w:r>
      <w:hyperlink r:id="rId2" w:tooltip="Lydia Taft" w:history="1">
        <w:r w:rsidRPr="006A7EE3">
          <w:rPr>
            <w:rFonts w:ascii="Times New Roman" w:eastAsia="Times New Roman" w:hAnsi="Times New Roman" w:cs="Times New Roman"/>
          </w:rPr>
          <w:t>Lydia Chapin Taft</w:t>
        </w:r>
      </w:hyperlink>
      <w:r w:rsidRPr="006A7EE3">
        <w:rPr>
          <w:rFonts w:ascii="Times New Roman" w:eastAsia="Times New Roman" w:hAnsi="Times New Roman" w:cs="Times New Roman"/>
        </w:rPr>
        <w:t> voted</w:t>
      </w:r>
    </w:p>
  </w:footnote>
  <w:footnote w:id="25">
    <w:p w:rsidR="000C1F11" w:rsidRPr="006A7EE3" w:rsidRDefault="000C1F11" w:rsidP="007526A8">
      <w:pPr>
        <w:pStyle w:val="FootnoteText"/>
      </w:pPr>
      <w:r>
        <w:rPr>
          <w:rStyle w:val="FootnoteReference"/>
        </w:rPr>
        <w:footnoteRef/>
      </w:r>
      <w:r>
        <w:t xml:space="preserve"> </w:t>
      </w:r>
      <w:r w:rsidRPr="006A7EE3">
        <w:rPr>
          <w:rFonts w:ascii="Times New Roman" w:eastAsia="Times New Roman" w:hAnsi="Times New Roman" w:cs="Times New Roman"/>
        </w:rPr>
        <w:t>New Hampshire</w:t>
      </w:r>
    </w:p>
  </w:footnote>
  <w:footnote w:id="26">
    <w:p w:rsidR="000C1F11" w:rsidRPr="00BC4951" w:rsidRDefault="000C1F11" w:rsidP="007526A8">
      <w:pPr>
        <w:pStyle w:val="FootnoteText"/>
      </w:pPr>
      <w:r>
        <w:rPr>
          <w:rStyle w:val="FootnoteReference"/>
        </w:rPr>
        <w:footnoteRef/>
      </w:r>
      <w:r>
        <w:t xml:space="preserve"> </w:t>
      </w:r>
      <w:r w:rsidRPr="009F5ADB">
        <w:rPr>
          <w:rFonts w:ascii="Times New Roman" w:eastAsia="Times New Roman" w:hAnsi="Times New Roman" w:cs="Times New Roman"/>
          <w:sz w:val="24"/>
          <w:szCs w:val="24"/>
        </w:rPr>
        <w:t> </w:t>
      </w:r>
      <w:hyperlink r:id="rId3" w:tooltip="Bradwell v. Illinois" w:history="1">
        <w:r w:rsidRPr="00BC4951">
          <w:rPr>
            <w:rFonts w:ascii="Times New Roman" w:eastAsia="Times New Roman" w:hAnsi="Times New Roman" w:cs="Times New Roman"/>
          </w:rPr>
          <w:t>Bradwell v. Illinois</w:t>
        </w:r>
      </w:hyperlink>
    </w:p>
  </w:footnote>
  <w:footnote w:id="27">
    <w:p w:rsidR="000C1F11" w:rsidRPr="00BC4951" w:rsidRDefault="000C1F11" w:rsidP="007526A8">
      <w:pPr>
        <w:pStyle w:val="FootnoteText"/>
      </w:pPr>
      <w:r>
        <w:rPr>
          <w:rStyle w:val="FootnoteReference"/>
        </w:rPr>
        <w:footnoteRef/>
      </w:r>
      <w:r>
        <w:t xml:space="preserve"> </w:t>
      </w:r>
      <w:r w:rsidRPr="00BC4951">
        <w:rPr>
          <w:rFonts w:ascii="Times New Roman" w:eastAsia="Times New Roman" w:hAnsi="Times New Roman" w:cs="Times New Roman"/>
        </w:rPr>
        <w:t>1963 Civil Rights March on Washington,D .C</w:t>
      </w:r>
    </w:p>
  </w:footnote>
  <w:footnote w:id="28">
    <w:p w:rsidR="000C1F11" w:rsidRPr="0020367C" w:rsidRDefault="000C1F11" w:rsidP="0020367C">
      <w:pPr>
        <w:shd w:val="clear" w:color="auto" w:fill="FFFFFF"/>
        <w:spacing w:before="100" w:beforeAutospacing="1" w:after="24" w:line="360" w:lineRule="atLeast"/>
        <w:jc w:val="both"/>
        <w:rPr>
          <w:rFonts w:ascii="Times New Roman" w:hAnsi="Times New Roman"/>
        </w:rPr>
      </w:pPr>
      <w:r w:rsidRPr="0020367C">
        <w:rPr>
          <w:rStyle w:val="FootnoteReference"/>
          <w:rFonts w:ascii="Times New Roman" w:hAnsi="Times New Roman"/>
          <w:sz w:val="20"/>
          <w:szCs w:val="20"/>
        </w:rPr>
        <w:footnoteRef/>
      </w:r>
      <w:r w:rsidRPr="0020367C">
        <w:rPr>
          <w:rFonts w:ascii="Times New Roman" w:hAnsi="Times New Roman"/>
          <w:sz w:val="20"/>
          <w:szCs w:val="20"/>
        </w:rPr>
        <w:t xml:space="preserve"> </w:t>
      </w:r>
      <w:r w:rsidRPr="0020367C">
        <w:rPr>
          <w:rFonts w:ascii="Times New Roman" w:hAnsi="Times New Roman"/>
          <w:color w:val="000000" w:themeColor="text1"/>
          <w:sz w:val="20"/>
          <w:szCs w:val="20"/>
        </w:rPr>
        <w:t xml:space="preserve">"A Call for the Right to Return in the Gulf Coast". </w:t>
      </w:r>
    </w:p>
  </w:footnote>
  <w:footnote w:id="29">
    <w:p w:rsidR="000C1F11" w:rsidRPr="0020367C" w:rsidRDefault="000C1F11" w:rsidP="007526A8">
      <w:pPr>
        <w:pStyle w:val="FootnoteText"/>
        <w:rPr>
          <w:rFonts w:ascii="Times New Roman" w:hAnsi="Times New Roman"/>
        </w:rPr>
      </w:pPr>
      <w:r w:rsidRPr="0020367C">
        <w:rPr>
          <w:rStyle w:val="FootnoteReference"/>
          <w:rFonts w:ascii="Times New Roman" w:hAnsi="Times New Roman"/>
        </w:rPr>
        <w:footnoteRef/>
      </w:r>
      <w:r w:rsidRPr="0020367C">
        <w:rPr>
          <w:rFonts w:ascii="Times New Roman" w:hAnsi="Times New Roman"/>
        </w:rPr>
        <w:t xml:space="preserve"> </w:t>
      </w:r>
      <w:r w:rsidRPr="0020367C">
        <w:rPr>
          <w:rFonts w:ascii="Times New Roman" w:eastAsia="Times New Roman" w:hAnsi="Times New Roman" w:cs="Times New Roman"/>
          <w:color w:val="000000" w:themeColor="text1"/>
        </w:rPr>
        <w:t>Universal Declaration of Human Rights</w:t>
      </w:r>
    </w:p>
  </w:footnote>
  <w:footnote w:id="30">
    <w:p w:rsidR="000C1F11" w:rsidRPr="0020367C" w:rsidRDefault="000C1F11" w:rsidP="007526A8">
      <w:pPr>
        <w:pStyle w:val="FootnoteText"/>
        <w:rPr>
          <w:rFonts w:ascii="Times New Roman" w:hAnsi="Times New Roman"/>
        </w:rPr>
      </w:pPr>
      <w:r w:rsidRPr="0020367C">
        <w:rPr>
          <w:rStyle w:val="FootnoteReference"/>
          <w:rFonts w:ascii="Times New Roman" w:hAnsi="Times New Roman"/>
        </w:rPr>
        <w:footnoteRef/>
      </w:r>
      <w:r w:rsidRPr="0020367C">
        <w:rPr>
          <w:rFonts w:ascii="Times New Roman" w:hAnsi="Times New Roman"/>
        </w:rPr>
        <w:t xml:space="preserve"> </w:t>
      </w:r>
      <w:r w:rsidRPr="0020367C">
        <w:rPr>
          <w:rFonts w:ascii="Times New Roman" w:hAnsi="Times New Roman"/>
          <w:color w:val="000000" w:themeColor="text1"/>
          <w:sz w:val="21"/>
        </w:rPr>
        <w:t>Quigley, William; Sharda Sekaran (2007).</w:t>
      </w:r>
    </w:p>
  </w:footnote>
  <w:footnote w:id="31">
    <w:p w:rsidR="000C1F11" w:rsidRPr="0020367C" w:rsidRDefault="000C1F11" w:rsidP="007526A8">
      <w:pPr>
        <w:pStyle w:val="FootnoteText"/>
        <w:rPr>
          <w:rFonts w:ascii="Times New Roman" w:hAnsi="Times New Roman"/>
        </w:rPr>
      </w:pPr>
      <w:r w:rsidRPr="0020367C">
        <w:rPr>
          <w:rStyle w:val="FootnoteReference"/>
          <w:rFonts w:ascii="Times New Roman" w:hAnsi="Times New Roman"/>
        </w:rPr>
        <w:footnoteRef/>
      </w:r>
      <w:r w:rsidRPr="0020367C">
        <w:rPr>
          <w:rFonts w:ascii="Times New Roman" w:hAnsi="Times New Roman"/>
        </w:rPr>
        <w:t xml:space="preserve"> </w:t>
      </w:r>
      <w:r w:rsidRPr="0020367C">
        <w:rPr>
          <w:rFonts w:ascii="Times New Roman" w:eastAsia="Times New Roman" w:hAnsi="Times New Roman" w:cs="Arial"/>
          <w:color w:val="252525"/>
          <w:sz w:val="21"/>
        </w:rPr>
        <w:t> </w:t>
      </w:r>
      <w:hyperlink r:id="rId4" w:tooltip="Negative and positive rights" w:history="1">
        <w:r w:rsidRPr="0020367C">
          <w:rPr>
            <w:rFonts w:ascii="Times New Roman" w:eastAsia="Times New Roman" w:hAnsi="Times New Roman" w:cs="Arial"/>
          </w:rPr>
          <w:t>negative and positive rights</w:t>
        </w:r>
      </w:hyperlink>
    </w:p>
  </w:footnote>
  <w:footnote w:id="32">
    <w:p w:rsidR="000C1F11" w:rsidRPr="0020367C" w:rsidRDefault="000C1F11" w:rsidP="007526A8">
      <w:pPr>
        <w:pStyle w:val="FootnoteText"/>
        <w:rPr>
          <w:rFonts w:ascii="Times New Roman" w:hAnsi="Times New Roman"/>
        </w:rPr>
      </w:pPr>
      <w:r w:rsidRPr="0020367C">
        <w:rPr>
          <w:rStyle w:val="FootnoteReference"/>
          <w:rFonts w:ascii="Times New Roman" w:hAnsi="Times New Roman"/>
        </w:rPr>
        <w:footnoteRef/>
      </w:r>
      <w:r w:rsidRPr="0020367C">
        <w:rPr>
          <w:rFonts w:ascii="Times New Roman" w:hAnsi="Times New Roman"/>
        </w:rPr>
        <w:t xml:space="preserve"> </w:t>
      </w:r>
      <w:r w:rsidRPr="0020367C">
        <w:rPr>
          <w:rFonts w:ascii="Times New Roman" w:hAnsi="Times New Roman"/>
          <w:color w:val="000000" w:themeColor="text1"/>
        </w:rPr>
        <w:t>human right</w:t>
      </w:r>
    </w:p>
  </w:footnote>
  <w:footnote w:id="33">
    <w:p w:rsidR="000C1F11" w:rsidRPr="000F5D56" w:rsidRDefault="000C1F11" w:rsidP="007526A8">
      <w:pPr>
        <w:pStyle w:val="FootnoteText"/>
      </w:pPr>
      <w:r w:rsidRPr="0020367C">
        <w:rPr>
          <w:rStyle w:val="FootnoteReference"/>
          <w:rFonts w:ascii="Times New Roman" w:hAnsi="Times New Roman"/>
        </w:rPr>
        <w:footnoteRef/>
      </w:r>
      <w:r w:rsidRPr="0020367C">
        <w:rPr>
          <w:rFonts w:ascii="Times New Roman" w:hAnsi="Times New Roman"/>
        </w:rPr>
        <w:t xml:space="preserve"> </w:t>
      </w:r>
      <w:r w:rsidRPr="0020367C">
        <w:rPr>
          <w:rFonts w:ascii="Times New Roman" w:hAnsi="Times New Roman"/>
          <w:bCs/>
          <w:color w:val="000000" w:themeColor="text1"/>
        </w:rPr>
        <w:t>Asian Human Rights Commission</w:t>
      </w:r>
      <w:r w:rsidRPr="0020367C">
        <w:rPr>
          <w:rStyle w:val="apple-converted-space"/>
          <w:rFonts w:ascii="Times New Roman" w:hAnsi="Times New Roman"/>
          <w:color w:val="000000" w:themeColor="text1"/>
        </w:rPr>
        <w:t> </w:t>
      </w:r>
    </w:p>
  </w:footnote>
  <w:footnote w:id="34">
    <w:p w:rsidR="000C1F11" w:rsidRPr="001D7481" w:rsidRDefault="000C1F11" w:rsidP="007526A8">
      <w:pPr>
        <w:pStyle w:val="FootnoteText"/>
      </w:pPr>
      <w:r>
        <w:rPr>
          <w:rStyle w:val="FootnoteReference"/>
        </w:rPr>
        <w:footnoteRef/>
      </w:r>
      <w:r>
        <w:t xml:space="preserve"> </w:t>
      </w:r>
      <w:r w:rsidRPr="003A2198">
        <w:rPr>
          <w:rStyle w:val="apple-converted-space"/>
          <w:color w:val="000000" w:themeColor="text1"/>
        </w:rPr>
        <w:t> </w:t>
      </w:r>
      <w:hyperlink r:id="rId5" w:tooltip="Consultative Status" w:history="1">
        <w:r w:rsidRPr="003A2198">
          <w:rPr>
            <w:rStyle w:val="Hyperlink"/>
            <w:color w:val="000000" w:themeColor="text1"/>
          </w:rPr>
          <w:t>Consultative Status</w:t>
        </w:r>
      </w:hyperlink>
    </w:p>
  </w:footnote>
  <w:footnote w:id="35">
    <w:p w:rsidR="000C1F11" w:rsidRPr="00DF31E2" w:rsidRDefault="000C1F11" w:rsidP="007526A8">
      <w:pPr>
        <w:pStyle w:val="FootnoteText"/>
      </w:pPr>
      <w:r>
        <w:rPr>
          <w:rStyle w:val="FootnoteReference"/>
        </w:rPr>
        <w:footnoteRef/>
      </w:r>
      <w:r>
        <w:t xml:space="preserve"> </w:t>
      </w:r>
      <w:hyperlink r:id="rId6" w:tooltip="United Nations" w:history="1">
        <w:r w:rsidRPr="003A2198">
          <w:rPr>
            <w:rStyle w:val="Hyperlink"/>
            <w:color w:val="000000" w:themeColor="text1"/>
          </w:rPr>
          <w:t>United Nations</w:t>
        </w:r>
      </w:hyperlink>
      <w:r w:rsidRPr="003A2198">
        <w:rPr>
          <w:rStyle w:val="apple-converted-space"/>
          <w:color w:val="000000" w:themeColor="text1"/>
        </w:rPr>
        <w:t> </w:t>
      </w:r>
      <w:r w:rsidRPr="003A2198">
        <w:rPr>
          <w:color w:val="000000" w:themeColor="text1"/>
        </w:rPr>
        <w:t>Economic and Social Council</w:t>
      </w:r>
    </w:p>
  </w:footnote>
  <w:footnote w:id="36">
    <w:p w:rsidR="000C1F11" w:rsidRPr="001D7481" w:rsidRDefault="000C1F11" w:rsidP="007526A8">
      <w:pPr>
        <w:pStyle w:val="FootnoteText"/>
      </w:pPr>
      <w:r>
        <w:rPr>
          <w:rStyle w:val="FootnoteReference"/>
        </w:rPr>
        <w:footnoteRef/>
      </w:r>
      <w:r>
        <w:t xml:space="preserve"> </w:t>
      </w:r>
      <w:r w:rsidRPr="003A2198">
        <w:rPr>
          <w:color w:val="000000" w:themeColor="text1"/>
        </w:rPr>
        <w:t>fuel price protests</w:t>
      </w:r>
    </w:p>
  </w:footnote>
  <w:footnote w:id="37">
    <w:p w:rsidR="000C1F11" w:rsidRPr="00E11DAD" w:rsidRDefault="000C1F11" w:rsidP="007526A8">
      <w:pPr>
        <w:pStyle w:val="NormalWeb"/>
        <w:spacing w:before="0" w:beforeAutospacing="0" w:after="240" w:afterAutospacing="0"/>
        <w:jc w:val="both"/>
        <w:rPr>
          <w:rFonts w:cs="Arial"/>
          <w:color w:val="FF0000"/>
          <w:spacing w:val="10"/>
          <w:sz w:val="20"/>
          <w:szCs w:val="20"/>
        </w:rPr>
      </w:pPr>
      <w:r w:rsidRPr="00E11DAD">
        <w:rPr>
          <w:rStyle w:val="FootnoteReference"/>
          <w:sz w:val="20"/>
          <w:szCs w:val="20"/>
        </w:rPr>
        <w:footnoteRef/>
      </w:r>
      <w:r w:rsidRPr="00E11DAD">
        <w:rPr>
          <w:sz w:val="20"/>
          <w:szCs w:val="20"/>
        </w:rPr>
        <w:t xml:space="preserve"> </w:t>
      </w:r>
      <w:hyperlink r:id="rId7" w:history="1">
        <w:r w:rsidRPr="00E11DAD">
          <w:rPr>
            <w:rStyle w:val="Hyperlink"/>
            <w:rFonts w:cs="Arial"/>
            <w:color w:val="000000" w:themeColor="text1"/>
            <w:spacing w:val="10"/>
            <w:sz w:val="20"/>
            <w:szCs w:val="20"/>
          </w:rPr>
          <w:t>http://www.hurights.or.jp/archives/focus/section2/2010/06/human-rights-based-approach-to-access-to-justice.htm</w:t>
        </w:r>
        <w:r w:rsidRPr="00E11DAD">
          <w:rPr>
            <w:rStyle w:val="Hyperlink"/>
            <w:rFonts w:cs="Arial"/>
            <w:spacing w:val="10"/>
            <w:sz w:val="20"/>
            <w:szCs w:val="20"/>
          </w:rPr>
          <w:t>l</w:t>
        </w:r>
      </w:hyperlink>
    </w:p>
  </w:footnote>
  <w:footnote w:id="38">
    <w:p w:rsidR="000C1F11" w:rsidRPr="00D9159E" w:rsidRDefault="000C1F11" w:rsidP="007526A8">
      <w:pPr>
        <w:jc w:val="both"/>
        <w:rPr>
          <w:sz w:val="20"/>
          <w:szCs w:val="20"/>
        </w:rPr>
      </w:pPr>
      <w:r w:rsidRPr="00D9159E">
        <w:rPr>
          <w:rStyle w:val="FootnoteReference"/>
          <w:sz w:val="20"/>
          <w:szCs w:val="20"/>
        </w:rPr>
        <w:footnoteRef/>
      </w:r>
      <w:r w:rsidRPr="00D9159E">
        <w:rPr>
          <w:sz w:val="20"/>
          <w:szCs w:val="20"/>
        </w:rPr>
        <w:t xml:space="preserve"> http://www.bd.undp.org/content/bangladesh/en/home/ourwork/partners.html</w:t>
      </w:r>
    </w:p>
    <w:p w:rsidR="000C1F11" w:rsidRPr="002F1D1A" w:rsidRDefault="000C1F11" w:rsidP="007526A8">
      <w:pPr>
        <w:pStyle w:val="FootnoteText"/>
      </w:pPr>
    </w:p>
  </w:footnote>
  <w:footnote w:id="39">
    <w:p w:rsidR="000C1F11" w:rsidRPr="00E11DAD" w:rsidRDefault="000C1F11" w:rsidP="007526A8">
      <w:pPr>
        <w:pStyle w:val="NormalWeb"/>
        <w:spacing w:before="0" w:beforeAutospacing="0" w:after="240" w:afterAutospacing="0" w:line="377" w:lineRule="atLeast"/>
        <w:jc w:val="both"/>
        <w:rPr>
          <w:rFonts w:cs="Arial"/>
          <w:spacing w:val="10"/>
          <w:sz w:val="22"/>
          <w:szCs w:val="22"/>
        </w:rPr>
      </w:pPr>
      <w:r w:rsidRPr="00E11DAD">
        <w:rPr>
          <w:rStyle w:val="FootnoteReference"/>
        </w:rPr>
        <w:footnoteRef/>
      </w:r>
      <w:r w:rsidRPr="00E11DAD">
        <w:t xml:space="preserve"> </w:t>
      </w:r>
      <w:r w:rsidRPr="00E11DAD">
        <w:rPr>
          <w:rFonts w:cs="Arial"/>
          <w:spacing w:val="10"/>
          <w:sz w:val="20"/>
          <w:szCs w:val="20"/>
        </w:rPr>
        <w:t>Human Rights &amp; Poverty Reduction: A Conceptual Framework</w:t>
      </w:r>
    </w:p>
    <w:p w:rsidR="000C1F11" w:rsidRPr="00AC13DF" w:rsidRDefault="000C1F11" w:rsidP="007526A8">
      <w:pPr>
        <w:pStyle w:val="FootnoteText"/>
      </w:pPr>
    </w:p>
  </w:footnote>
  <w:footnote w:id="40">
    <w:p w:rsidR="000C1F11" w:rsidRDefault="000C1F11" w:rsidP="00A82859">
      <w:pPr>
        <w:pStyle w:val="FootnoteText"/>
        <w:rPr>
          <w:rFonts w:ascii="Times New Roman" w:hAnsi="Times New Roman" w:cs="Times New Roman"/>
        </w:rPr>
      </w:pPr>
      <w:r w:rsidRPr="00AC6BEC">
        <w:rPr>
          <w:rStyle w:val="FootnoteReference"/>
        </w:rPr>
        <w:footnoteRef/>
      </w:r>
      <w:r w:rsidRPr="00AC6BEC">
        <w:t xml:space="preserve"> </w:t>
      </w:r>
      <w:r w:rsidRPr="00AC6BEC">
        <w:rPr>
          <w:rFonts w:ascii="Times New Roman" w:hAnsi="Times New Roman" w:cs="Times New Roman"/>
        </w:rPr>
        <w:t>Article 26 of the Constitution deals with Judicial Review.</w:t>
      </w:r>
      <w:r>
        <w:rPr>
          <w:rFonts w:ascii="Times New Roman" w:hAnsi="Times New Roman" w:cs="Times New Roman"/>
        </w:rPr>
        <w:t xml:space="preserve"> </w:t>
      </w:r>
    </w:p>
    <w:p w:rsidR="000C1F11" w:rsidRDefault="000C1F11" w:rsidP="00A82859">
      <w:pPr>
        <w:pStyle w:val="FootnoteText"/>
        <w:rPr>
          <w:rFonts w:ascii="Times New Roman" w:hAnsi="Times New Roman" w:cs="Times New Roman"/>
        </w:rPr>
      </w:pPr>
    </w:p>
    <w:p w:rsidR="000C1F11" w:rsidRPr="00AC6BEC" w:rsidRDefault="000C1F11" w:rsidP="00A82859">
      <w:pPr>
        <w:pStyle w:val="FootnoteText"/>
      </w:pPr>
      <w:r w:rsidRPr="00AC6BEC">
        <w:rPr>
          <w:rFonts w:ascii="Times New Roman" w:hAnsi="Times New Roman" w:cs="Times New Roman"/>
        </w:rPr>
        <w:t xml:space="preserve"> Article 26(1) tells about Judicial Review of all existing law; and Article 26(2) about any new law</w:t>
      </w:r>
    </w:p>
  </w:footnote>
  <w:footnote w:id="41">
    <w:p w:rsidR="000C1F11" w:rsidRDefault="000C1F11" w:rsidP="00A82859">
      <w:pPr>
        <w:pStyle w:val="FootnoteText"/>
      </w:pPr>
    </w:p>
    <w:p w:rsidR="000C1F11" w:rsidRDefault="000C1F11" w:rsidP="00A82859">
      <w:pPr>
        <w:pStyle w:val="FootnoteText"/>
      </w:pPr>
      <w:r>
        <w:rPr>
          <w:rStyle w:val="FootnoteReference"/>
        </w:rPr>
        <w:footnoteRef/>
      </w:r>
      <w:r>
        <w:t xml:space="preserve"> </w:t>
      </w:r>
      <w:r w:rsidRPr="00AC6BEC">
        <w:rPr>
          <w:rFonts w:ascii="Times New Roman" w:hAnsi="Times New Roman" w:cs="Times New Roman"/>
        </w:rPr>
        <w:t>Article 102(2) under Part VI of the Constitution deals with Judicial Enforcement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11" w:rsidRDefault="000C1F11">
    <w:pPr>
      <w:pStyle w:val="Header"/>
    </w:pPr>
  </w:p>
  <w:p w:rsidR="000C1F11" w:rsidRDefault="000C1F1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384775"/>
    <w:multiLevelType w:val="hybridMultilevel"/>
    <w:tmpl w:val="1B303F86"/>
    <w:lvl w:ilvl="0" w:tplc="787E10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F13090"/>
    <w:multiLevelType w:val="hybridMultilevel"/>
    <w:tmpl w:val="9D7656D8"/>
    <w:lvl w:ilvl="0" w:tplc="A808B3A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4C07EC"/>
    <w:multiLevelType w:val="multilevel"/>
    <w:tmpl w:val="2F0A1AAC"/>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8045584"/>
    <w:multiLevelType w:val="hybridMultilevel"/>
    <w:tmpl w:val="268C13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20B5BAF"/>
    <w:multiLevelType w:val="hybridMultilevel"/>
    <w:tmpl w:val="A6269C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23B15A9"/>
    <w:multiLevelType w:val="hybridMultilevel"/>
    <w:tmpl w:val="2132F3A8"/>
    <w:lvl w:ilvl="0" w:tplc="EBD8671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E3043B3"/>
    <w:multiLevelType w:val="hybridMultilevel"/>
    <w:tmpl w:val="865267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8BE2E58"/>
    <w:multiLevelType w:val="hybridMultilevel"/>
    <w:tmpl w:val="D2F0B834"/>
    <w:lvl w:ilvl="0" w:tplc="26A25A00">
      <w:start w:val="1"/>
      <w:numFmt w:val="decimal"/>
      <w:lvlText w:val="%1."/>
      <w:lvlJc w:val="left"/>
      <w:pPr>
        <w:ind w:left="81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06F464B"/>
    <w:multiLevelType w:val="hybridMultilevel"/>
    <w:tmpl w:val="60E6C3F8"/>
    <w:lvl w:ilvl="0" w:tplc="274E62E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40D14AF"/>
    <w:multiLevelType w:val="hybridMultilevel"/>
    <w:tmpl w:val="3AB81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AD54AA3"/>
    <w:multiLevelType w:val="hybridMultilevel"/>
    <w:tmpl w:val="F3E8C16A"/>
    <w:lvl w:ilvl="0" w:tplc="2A44BCB4">
      <w:start w:val="1"/>
      <w:numFmt w:val="lowerLetter"/>
      <w:lvlText w:val="(%1)"/>
      <w:lvlJc w:val="left"/>
      <w:pPr>
        <w:ind w:left="3525" w:hanging="375"/>
      </w:pPr>
      <w:rPr>
        <w:rFonts w:hint="default"/>
        <w:b/>
      </w:rPr>
    </w:lvl>
    <w:lvl w:ilvl="1" w:tplc="04090019" w:tentative="1">
      <w:start w:val="1"/>
      <w:numFmt w:val="lowerLetter"/>
      <w:lvlText w:val="%2."/>
      <w:lvlJc w:val="left"/>
      <w:pPr>
        <w:ind w:left="4230" w:hanging="360"/>
      </w:pPr>
    </w:lvl>
    <w:lvl w:ilvl="2" w:tplc="0409001B" w:tentative="1">
      <w:start w:val="1"/>
      <w:numFmt w:val="lowerRoman"/>
      <w:lvlText w:val="%3."/>
      <w:lvlJc w:val="right"/>
      <w:pPr>
        <w:ind w:left="4950" w:hanging="180"/>
      </w:pPr>
    </w:lvl>
    <w:lvl w:ilvl="3" w:tplc="0409000F" w:tentative="1">
      <w:start w:val="1"/>
      <w:numFmt w:val="decimal"/>
      <w:lvlText w:val="%4."/>
      <w:lvlJc w:val="left"/>
      <w:pPr>
        <w:ind w:left="5670" w:hanging="360"/>
      </w:pPr>
    </w:lvl>
    <w:lvl w:ilvl="4" w:tplc="04090019" w:tentative="1">
      <w:start w:val="1"/>
      <w:numFmt w:val="lowerLetter"/>
      <w:lvlText w:val="%5."/>
      <w:lvlJc w:val="left"/>
      <w:pPr>
        <w:ind w:left="6390" w:hanging="360"/>
      </w:pPr>
    </w:lvl>
    <w:lvl w:ilvl="5" w:tplc="0409001B" w:tentative="1">
      <w:start w:val="1"/>
      <w:numFmt w:val="lowerRoman"/>
      <w:lvlText w:val="%6."/>
      <w:lvlJc w:val="right"/>
      <w:pPr>
        <w:ind w:left="7110" w:hanging="180"/>
      </w:pPr>
    </w:lvl>
    <w:lvl w:ilvl="6" w:tplc="0409000F" w:tentative="1">
      <w:start w:val="1"/>
      <w:numFmt w:val="decimal"/>
      <w:lvlText w:val="%7."/>
      <w:lvlJc w:val="left"/>
      <w:pPr>
        <w:ind w:left="7830" w:hanging="360"/>
      </w:pPr>
    </w:lvl>
    <w:lvl w:ilvl="7" w:tplc="04090019" w:tentative="1">
      <w:start w:val="1"/>
      <w:numFmt w:val="lowerLetter"/>
      <w:lvlText w:val="%8."/>
      <w:lvlJc w:val="left"/>
      <w:pPr>
        <w:ind w:left="8550" w:hanging="360"/>
      </w:pPr>
    </w:lvl>
    <w:lvl w:ilvl="8" w:tplc="0409001B" w:tentative="1">
      <w:start w:val="1"/>
      <w:numFmt w:val="lowerRoman"/>
      <w:lvlText w:val="%9."/>
      <w:lvlJc w:val="right"/>
      <w:pPr>
        <w:ind w:left="9270" w:hanging="180"/>
      </w:pPr>
    </w:lvl>
  </w:abstractNum>
  <w:num w:numId="1">
    <w:abstractNumId w:val="9"/>
  </w:num>
  <w:num w:numId="2">
    <w:abstractNumId w:val="1"/>
  </w:num>
  <w:num w:numId="3">
    <w:abstractNumId w:val="7"/>
  </w:num>
  <w:num w:numId="4">
    <w:abstractNumId w:val="5"/>
  </w:num>
  <w:num w:numId="5">
    <w:abstractNumId w:val="10"/>
  </w:num>
  <w:num w:numId="6">
    <w:abstractNumId w:val="8"/>
  </w:num>
  <w:num w:numId="7">
    <w:abstractNumId w:val="3"/>
  </w:num>
  <w:num w:numId="8">
    <w:abstractNumId w:val="6"/>
  </w:num>
  <w:num w:numId="9">
    <w:abstractNumId w:val="4"/>
  </w:num>
  <w:num w:numId="10">
    <w:abstractNumId w:val="0"/>
  </w:num>
  <w:num w:numId="1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421B35"/>
    <w:rsid w:val="0002013E"/>
    <w:rsid w:val="00041920"/>
    <w:rsid w:val="00066639"/>
    <w:rsid w:val="0008782F"/>
    <w:rsid w:val="0008794D"/>
    <w:rsid w:val="00093601"/>
    <w:rsid w:val="000A043C"/>
    <w:rsid w:val="000A222C"/>
    <w:rsid w:val="000A2392"/>
    <w:rsid w:val="000B1F9F"/>
    <w:rsid w:val="000B466B"/>
    <w:rsid w:val="000B76BF"/>
    <w:rsid w:val="000C1564"/>
    <w:rsid w:val="000C1F11"/>
    <w:rsid w:val="000D636A"/>
    <w:rsid w:val="000E0259"/>
    <w:rsid w:val="000F4C99"/>
    <w:rsid w:val="001076C0"/>
    <w:rsid w:val="00116C29"/>
    <w:rsid w:val="001236F1"/>
    <w:rsid w:val="001344A7"/>
    <w:rsid w:val="00135112"/>
    <w:rsid w:val="00136303"/>
    <w:rsid w:val="00164F28"/>
    <w:rsid w:val="00167AD4"/>
    <w:rsid w:val="0017761E"/>
    <w:rsid w:val="001778DF"/>
    <w:rsid w:val="001E2CA2"/>
    <w:rsid w:val="001E5A84"/>
    <w:rsid w:val="0020367C"/>
    <w:rsid w:val="002323B5"/>
    <w:rsid w:val="002477EA"/>
    <w:rsid w:val="00247AE5"/>
    <w:rsid w:val="0025669B"/>
    <w:rsid w:val="00261DFA"/>
    <w:rsid w:val="002651DD"/>
    <w:rsid w:val="00270F5C"/>
    <w:rsid w:val="00271092"/>
    <w:rsid w:val="00274D36"/>
    <w:rsid w:val="00282D1D"/>
    <w:rsid w:val="002B16D9"/>
    <w:rsid w:val="002C1901"/>
    <w:rsid w:val="002E164B"/>
    <w:rsid w:val="002E7B6F"/>
    <w:rsid w:val="002E7B76"/>
    <w:rsid w:val="003145DE"/>
    <w:rsid w:val="00324FFA"/>
    <w:rsid w:val="0032640D"/>
    <w:rsid w:val="003417D9"/>
    <w:rsid w:val="003504EF"/>
    <w:rsid w:val="00373D54"/>
    <w:rsid w:val="00374773"/>
    <w:rsid w:val="00380D45"/>
    <w:rsid w:val="003977A3"/>
    <w:rsid w:val="003D7DB9"/>
    <w:rsid w:val="003E0D88"/>
    <w:rsid w:val="003F4539"/>
    <w:rsid w:val="0040438E"/>
    <w:rsid w:val="00421B35"/>
    <w:rsid w:val="00463D67"/>
    <w:rsid w:val="0047779C"/>
    <w:rsid w:val="00481304"/>
    <w:rsid w:val="00483A87"/>
    <w:rsid w:val="00486E48"/>
    <w:rsid w:val="00496DF3"/>
    <w:rsid w:val="004A4EE9"/>
    <w:rsid w:val="004A61BE"/>
    <w:rsid w:val="004C1970"/>
    <w:rsid w:val="004C490C"/>
    <w:rsid w:val="004D299F"/>
    <w:rsid w:val="004D3A1E"/>
    <w:rsid w:val="004D7D65"/>
    <w:rsid w:val="004E32D2"/>
    <w:rsid w:val="00503FE9"/>
    <w:rsid w:val="005048B5"/>
    <w:rsid w:val="00535B38"/>
    <w:rsid w:val="005563F0"/>
    <w:rsid w:val="00581F41"/>
    <w:rsid w:val="005849D4"/>
    <w:rsid w:val="005A5179"/>
    <w:rsid w:val="005B1344"/>
    <w:rsid w:val="005B535D"/>
    <w:rsid w:val="005D56E8"/>
    <w:rsid w:val="005E1BDC"/>
    <w:rsid w:val="005E2FF3"/>
    <w:rsid w:val="00601EB0"/>
    <w:rsid w:val="006130B4"/>
    <w:rsid w:val="00616372"/>
    <w:rsid w:val="0062536D"/>
    <w:rsid w:val="0063188B"/>
    <w:rsid w:val="006359DB"/>
    <w:rsid w:val="00645BE3"/>
    <w:rsid w:val="00651417"/>
    <w:rsid w:val="00653A5B"/>
    <w:rsid w:val="00653C0B"/>
    <w:rsid w:val="00691D0E"/>
    <w:rsid w:val="006A4BB5"/>
    <w:rsid w:val="006A5DA4"/>
    <w:rsid w:val="006D66BB"/>
    <w:rsid w:val="00702576"/>
    <w:rsid w:val="0070729B"/>
    <w:rsid w:val="00711699"/>
    <w:rsid w:val="0072333E"/>
    <w:rsid w:val="0074114D"/>
    <w:rsid w:val="007419AF"/>
    <w:rsid w:val="0074467F"/>
    <w:rsid w:val="007526A8"/>
    <w:rsid w:val="00761C25"/>
    <w:rsid w:val="00773608"/>
    <w:rsid w:val="0078511F"/>
    <w:rsid w:val="0079458B"/>
    <w:rsid w:val="007A4B2F"/>
    <w:rsid w:val="007A7E4A"/>
    <w:rsid w:val="007E12B9"/>
    <w:rsid w:val="007E490C"/>
    <w:rsid w:val="007E6A30"/>
    <w:rsid w:val="00802C5E"/>
    <w:rsid w:val="00803D5B"/>
    <w:rsid w:val="00806327"/>
    <w:rsid w:val="008247E1"/>
    <w:rsid w:val="00831A36"/>
    <w:rsid w:val="008652EF"/>
    <w:rsid w:val="00866AA8"/>
    <w:rsid w:val="00881978"/>
    <w:rsid w:val="00883342"/>
    <w:rsid w:val="008849A3"/>
    <w:rsid w:val="008921EA"/>
    <w:rsid w:val="00897AFD"/>
    <w:rsid w:val="008A01DF"/>
    <w:rsid w:val="008A31C3"/>
    <w:rsid w:val="008D1E83"/>
    <w:rsid w:val="008D3469"/>
    <w:rsid w:val="008E35FD"/>
    <w:rsid w:val="008E7F89"/>
    <w:rsid w:val="009066EC"/>
    <w:rsid w:val="00914D38"/>
    <w:rsid w:val="009206DF"/>
    <w:rsid w:val="0095108C"/>
    <w:rsid w:val="00975111"/>
    <w:rsid w:val="00992787"/>
    <w:rsid w:val="00994080"/>
    <w:rsid w:val="00996129"/>
    <w:rsid w:val="00996476"/>
    <w:rsid w:val="009A021E"/>
    <w:rsid w:val="009A6B7F"/>
    <w:rsid w:val="009B18CA"/>
    <w:rsid w:val="009B366B"/>
    <w:rsid w:val="009B692F"/>
    <w:rsid w:val="009C3617"/>
    <w:rsid w:val="009C5DE2"/>
    <w:rsid w:val="009F3824"/>
    <w:rsid w:val="00A34A27"/>
    <w:rsid w:val="00A65EBB"/>
    <w:rsid w:val="00A729C5"/>
    <w:rsid w:val="00A82859"/>
    <w:rsid w:val="00AA37D4"/>
    <w:rsid w:val="00AB45E7"/>
    <w:rsid w:val="00AC3F1C"/>
    <w:rsid w:val="00AC711B"/>
    <w:rsid w:val="00B36F9A"/>
    <w:rsid w:val="00B371A3"/>
    <w:rsid w:val="00B40237"/>
    <w:rsid w:val="00B55C3E"/>
    <w:rsid w:val="00B76171"/>
    <w:rsid w:val="00B762CF"/>
    <w:rsid w:val="00B7726C"/>
    <w:rsid w:val="00B938A4"/>
    <w:rsid w:val="00B95D9B"/>
    <w:rsid w:val="00BA30B2"/>
    <w:rsid w:val="00BB2FAC"/>
    <w:rsid w:val="00BD6602"/>
    <w:rsid w:val="00BD6609"/>
    <w:rsid w:val="00BE13D4"/>
    <w:rsid w:val="00C14A60"/>
    <w:rsid w:val="00C229D9"/>
    <w:rsid w:val="00C416E5"/>
    <w:rsid w:val="00C424D0"/>
    <w:rsid w:val="00C44A4E"/>
    <w:rsid w:val="00C47EDA"/>
    <w:rsid w:val="00C82442"/>
    <w:rsid w:val="00C857D5"/>
    <w:rsid w:val="00C952FF"/>
    <w:rsid w:val="00CA01B5"/>
    <w:rsid w:val="00CA196A"/>
    <w:rsid w:val="00CA1ABC"/>
    <w:rsid w:val="00CA48C2"/>
    <w:rsid w:val="00CB7C8F"/>
    <w:rsid w:val="00CC27B6"/>
    <w:rsid w:val="00CD70FD"/>
    <w:rsid w:val="00CE3047"/>
    <w:rsid w:val="00CF6690"/>
    <w:rsid w:val="00D10106"/>
    <w:rsid w:val="00D20D36"/>
    <w:rsid w:val="00D225F6"/>
    <w:rsid w:val="00D44CEA"/>
    <w:rsid w:val="00D50F62"/>
    <w:rsid w:val="00D80479"/>
    <w:rsid w:val="00D83907"/>
    <w:rsid w:val="00D83CD6"/>
    <w:rsid w:val="00DA535F"/>
    <w:rsid w:val="00DB580A"/>
    <w:rsid w:val="00E12D82"/>
    <w:rsid w:val="00E35353"/>
    <w:rsid w:val="00E43454"/>
    <w:rsid w:val="00E45861"/>
    <w:rsid w:val="00E56B05"/>
    <w:rsid w:val="00E60084"/>
    <w:rsid w:val="00E61E8D"/>
    <w:rsid w:val="00EB3B07"/>
    <w:rsid w:val="00EB3B9C"/>
    <w:rsid w:val="00EB507C"/>
    <w:rsid w:val="00EB6450"/>
    <w:rsid w:val="00EC0288"/>
    <w:rsid w:val="00EC2BAD"/>
    <w:rsid w:val="00ED43B1"/>
    <w:rsid w:val="00EE6C46"/>
    <w:rsid w:val="00F06C92"/>
    <w:rsid w:val="00F24512"/>
    <w:rsid w:val="00F450C8"/>
    <w:rsid w:val="00F51600"/>
    <w:rsid w:val="00F63982"/>
    <w:rsid w:val="00F720C6"/>
    <w:rsid w:val="00F85954"/>
    <w:rsid w:val="00FA1A85"/>
    <w:rsid w:val="00FA3E37"/>
    <w:rsid w:val="00FB53D5"/>
    <w:rsid w:val="00FF41F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1304"/>
  </w:style>
  <w:style w:type="paragraph" w:styleId="Heading1">
    <w:name w:val="heading 1"/>
    <w:basedOn w:val="Normal"/>
    <w:next w:val="Normal"/>
    <w:link w:val="Heading1Char"/>
    <w:uiPriority w:val="9"/>
    <w:qFormat/>
    <w:rsid w:val="008247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E304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E304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E304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E304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E3047"/>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3F1C"/>
    <w:pPr>
      <w:ind w:left="720"/>
      <w:contextualSpacing/>
    </w:pPr>
  </w:style>
  <w:style w:type="paragraph" w:styleId="Header">
    <w:name w:val="header"/>
    <w:basedOn w:val="Normal"/>
    <w:link w:val="HeaderChar"/>
    <w:uiPriority w:val="99"/>
    <w:unhideWhenUsed/>
    <w:rsid w:val="00601E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1EB0"/>
  </w:style>
  <w:style w:type="paragraph" w:styleId="Footer">
    <w:name w:val="footer"/>
    <w:basedOn w:val="Normal"/>
    <w:link w:val="FooterChar"/>
    <w:uiPriority w:val="99"/>
    <w:unhideWhenUsed/>
    <w:rsid w:val="00601E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1EB0"/>
  </w:style>
  <w:style w:type="paragraph" w:styleId="NoSpacing">
    <w:name w:val="No Spacing"/>
    <w:uiPriority w:val="1"/>
    <w:qFormat/>
    <w:rsid w:val="008247E1"/>
    <w:pPr>
      <w:spacing w:after="0" w:line="240" w:lineRule="auto"/>
    </w:pPr>
  </w:style>
  <w:style w:type="character" w:customStyle="1" w:styleId="Heading1Char">
    <w:name w:val="Heading 1 Char"/>
    <w:basedOn w:val="DefaultParagraphFont"/>
    <w:link w:val="Heading1"/>
    <w:uiPriority w:val="9"/>
    <w:rsid w:val="008247E1"/>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rsid w:val="00380D4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83C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3CD6"/>
    <w:rPr>
      <w:rFonts w:ascii="Tahoma" w:hAnsi="Tahoma" w:cs="Tahoma"/>
      <w:sz w:val="16"/>
      <w:szCs w:val="16"/>
    </w:rPr>
  </w:style>
  <w:style w:type="character" w:customStyle="1" w:styleId="Heading2Char">
    <w:name w:val="Heading 2 Char"/>
    <w:basedOn w:val="DefaultParagraphFont"/>
    <w:link w:val="Heading2"/>
    <w:uiPriority w:val="9"/>
    <w:rsid w:val="00CE304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E304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E3047"/>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E3047"/>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CE3047"/>
    <w:rPr>
      <w:rFonts w:asciiTheme="majorHAnsi" w:eastAsiaTheme="majorEastAsia" w:hAnsiTheme="majorHAnsi" w:cstheme="majorBidi"/>
      <w:i/>
      <w:iCs/>
      <w:color w:val="243F60" w:themeColor="accent1" w:themeShade="7F"/>
    </w:rPr>
  </w:style>
  <w:style w:type="character" w:styleId="Hyperlink">
    <w:name w:val="Hyperlink"/>
    <w:basedOn w:val="DefaultParagraphFont"/>
    <w:uiPriority w:val="99"/>
    <w:unhideWhenUsed/>
    <w:rsid w:val="00CA1ABC"/>
    <w:rPr>
      <w:color w:val="0000FF" w:themeColor="hyperlink"/>
      <w:u w:val="single"/>
    </w:rPr>
  </w:style>
  <w:style w:type="paragraph" w:styleId="NormalWeb">
    <w:name w:val="Normal (Web)"/>
    <w:basedOn w:val="Normal"/>
    <w:uiPriority w:val="99"/>
    <w:unhideWhenUsed/>
    <w:rsid w:val="009F3824"/>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A82859"/>
    <w:pPr>
      <w:spacing w:after="0" w:line="240" w:lineRule="auto"/>
    </w:pPr>
    <w:rPr>
      <w:sz w:val="20"/>
      <w:szCs w:val="20"/>
    </w:rPr>
  </w:style>
  <w:style w:type="character" w:customStyle="1" w:styleId="FootnoteTextChar">
    <w:name w:val="Footnote Text Char"/>
    <w:basedOn w:val="DefaultParagraphFont"/>
    <w:link w:val="FootnoteText"/>
    <w:uiPriority w:val="99"/>
    <w:rsid w:val="00A82859"/>
    <w:rPr>
      <w:sz w:val="20"/>
      <w:szCs w:val="20"/>
    </w:rPr>
  </w:style>
  <w:style w:type="character" w:styleId="FootnoteReference">
    <w:name w:val="footnote reference"/>
    <w:basedOn w:val="DefaultParagraphFont"/>
    <w:uiPriority w:val="99"/>
    <w:semiHidden/>
    <w:unhideWhenUsed/>
    <w:rsid w:val="00A82859"/>
    <w:rPr>
      <w:vertAlign w:val="superscript"/>
    </w:rPr>
  </w:style>
  <w:style w:type="character" w:customStyle="1" w:styleId="apple-converted-space">
    <w:name w:val="apple-converted-space"/>
    <w:basedOn w:val="DefaultParagraphFont"/>
    <w:rsid w:val="007526A8"/>
  </w:style>
  <w:style w:type="character" w:styleId="PageNumber">
    <w:name w:val="page number"/>
    <w:basedOn w:val="DefaultParagraphFont"/>
    <w:uiPriority w:val="99"/>
    <w:semiHidden/>
    <w:unhideWhenUsed/>
    <w:rsid w:val="000C1F11"/>
  </w:style>
</w:styles>
</file>

<file path=word/webSettings.xml><?xml version="1.0" encoding="utf-8"?>
<w:webSettings xmlns:r="http://schemas.openxmlformats.org/officeDocument/2006/relationships" xmlns:w="http://schemas.openxmlformats.org/wordprocessingml/2006/main">
  <w:divs>
    <w:div w:id="180121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Human_rights_in_the_United_States" TargetMode="External"/><Relationship Id="rId18" Type="http://schemas.openxmlformats.org/officeDocument/2006/relationships/hyperlink" Target="http://en.wikipedia.org/wiki/Thomas_Mifflin" TargetMode="External"/><Relationship Id="rId26" Type="http://schemas.openxmlformats.org/officeDocument/2006/relationships/hyperlink" Target="http://en.wikipedia.org/wiki/Women%27s_suffrage_in_the_United_States" TargetMode="External"/><Relationship Id="rId39" Type="http://schemas.openxmlformats.org/officeDocument/2006/relationships/hyperlink" Target="http://en.wikipedia.org/wiki/Miller_v._Alabama" TargetMode="External"/><Relationship Id="rId21" Type="http://schemas.openxmlformats.org/officeDocument/2006/relationships/hyperlink" Target="http://en.wikipedia.org/wiki/Three-Fifths_Compromise" TargetMode="External"/><Relationship Id="rId34" Type="http://schemas.openxmlformats.org/officeDocument/2006/relationships/hyperlink" Target="http://en.wikipedia.org/wiki/Susan_B._Anthony" TargetMode="External"/><Relationship Id="rId42" Type="http://schemas.openxmlformats.org/officeDocument/2006/relationships/hyperlink" Target="http://en.wikipedia.org/wiki/Eleanor_Roosevelt" TargetMode="External"/><Relationship Id="rId47" Type="http://schemas.openxmlformats.org/officeDocument/2006/relationships/hyperlink" Target="http://en.wikipedia.org/wiki/Negative_and_positive_rights" TargetMode="External"/><Relationship Id="rId50" Type="http://schemas.openxmlformats.org/officeDocument/2006/relationships/hyperlink" Target="http://en.wikipedia.org/wiki/United_Nations" TargetMode="External"/><Relationship Id="rId55" Type="http://schemas.openxmlformats.org/officeDocument/2006/relationships/hyperlink" Target="http://en.wikipedia.org/wiki/Forced_disappearances" TargetMode="External"/><Relationship Id="rId63" Type="http://schemas.openxmlformats.org/officeDocument/2006/relationships/hyperlink" Target="http://en.wikipedia.org/wiki/India" TargetMode="External"/><Relationship Id="rId68" Type="http://schemas.openxmlformats.org/officeDocument/2006/relationships/hyperlink" Target="http://en.wikipedia.org/wiki/House_of_Representatives_of_the_Philippines"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en.wikipedia.org/wiki/Enforced_disappearance" TargetMode="External"/><Relationship Id="rId2" Type="http://schemas.openxmlformats.org/officeDocument/2006/relationships/numbering" Target="numbering.xml"/><Relationship Id="rId16" Type="http://schemas.openxmlformats.org/officeDocument/2006/relationships/hyperlink" Target="http://en.wikipedia.org/wiki/Inner_light" TargetMode="External"/><Relationship Id="rId29" Type="http://schemas.openxmlformats.org/officeDocument/2006/relationships/hyperlink" Target="http://en.wikipedia.org/wiki/Bradwell_v._Illinois" TargetMode="External"/><Relationship Id="rId11" Type="http://schemas.openxmlformats.org/officeDocument/2006/relationships/hyperlink" Target="http://en.wikipedia.org/wiki/All_men_are_created_equal" TargetMode="External"/><Relationship Id="rId24" Type="http://schemas.openxmlformats.org/officeDocument/2006/relationships/hyperlink" Target="http://en.wikipedia.org/wiki/Common_law" TargetMode="External"/><Relationship Id="rId32" Type="http://schemas.openxmlformats.org/officeDocument/2006/relationships/hyperlink" Target="http://en.wikipedia.org/wiki/Equal_Protection_Clause" TargetMode="External"/><Relationship Id="rId37" Type="http://schemas.openxmlformats.org/officeDocument/2006/relationships/hyperlink" Target="http://en.wikipedia.org/wiki/Reed_v._Reed" TargetMode="External"/><Relationship Id="rId40" Type="http://schemas.openxmlformats.org/officeDocument/2006/relationships/hyperlink" Target="http://en.wikipedia.org/wiki/United_Nations" TargetMode="External"/><Relationship Id="rId45" Type="http://schemas.openxmlformats.org/officeDocument/2006/relationships/hyperlink" Target="http://en.wikipedia.org/wiki/Human_rights_in_the_United_States" TargetMode="External"/><Relationship Id="rId53" Type="http://schemas.openxmlformats.org/officeDocument/2006/relationships/hyperlink" Target="http://en.wikipedia.org/wiki/Philippines" TargetMode="External"/><Relationship Id="rId58" Type="http://schemas.openxmlformats.org/officeDocument/2006/relationships/hyperlink" Target="http://en.wikipedia.org/wiki/Indonesia" TargetMode="External"/><Relationship Id="rId66" Type="http://schemas.openxmlformats.org/officeDocument/2006/relationships/hyperlink" Target="http://en.wikipedia.org/wiki/Writ_of_Amparo_and_Habeas_Data_(Philippines)" TargetMode="External"/><Relationship Id="rId74" Type="http://schemas.openxmlformats.org/officeDocument/2006/relationships/footer" Target="footer1.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en.wikipedia.org/wiki/Thailand" TargetMode="External"/><Relationship Id="rId10" Type="http://schemas.openxmlformats.org/officeDocument/2006/relationships/hyperlink" Target="http://en.wikipedia.org/wiki/Human_rights" TargetMode="External"/><Relationship Id="rId19" Type="http://schemas.openxmlformats.org/officeDocument/2006/relationships/hyperlink" Target="http://en.wikipedia.org/wiki/Human_rights_in_the_United_States" TargetMode="External"/><Relationship Id="rId31" Type="http://schemas.openxmlformats.org/officeDocument/2006/relationships/hyperlink" Target="http://en.wikipedia.org/wiki/Fourteenth_Amendment_to_the_United_States_Constitution" TargetMode="External"/><Relationship Id="rId44" Type="http://schemas.openxmlformats.org/officeDocument/2006/relationships/hyperlink" Target="http://en.wikipedia.org/wiki/Arrears" TargetMode="External"/><Relationship Id="rId52" Type="http://schemas.openxmlformats.org/officeDocument/2006/relationships/hyperlink" Target="http://en.wikipedia.org/wiki/International_Day_of_the_Disappeared" TargetMode="External"/><Relationship Id="rId60" Type="http://schemas.openxmlformats.org/officeDocument/2006/relationships/hyperlink" Target="http://en.wikipedia.org/wiki/Nepal" TargetMode="External"/><Relationship Id="rId65" Type="http://schemas.openxmlformats.org/officeDocument/2006/relationships/hyperlink" Target="http://en.wikipedia.org/wiki/Military_dictatorship" TargetMode="External"/><Relationship Id="rId73" Type="http://schemas.openxmlformats.org/officeDocument/2006/relationships/hyperlink" Target="http://www.ohchr.org"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n.wikipedia.org/wiki/Anthony_Benezet" TargetMode="External"/><Relationship Id="rId14" Type="http://schemas.openxmlformats.org/officeDocument/2006/relationships/hyperlink" Target="http://en.wikipedia.org/wiki/Republic" TargetMode="External"/><Relationship Id="rId22" Type="http://schemas.openxmlformats.org/officeDocument/2006/relationships/hyperlink" Target="http://en.wikipedia.org/wiki/United_States_Bill_of_Rights" TargetMode="External"/><Relationship Id="rId27" Type="http://schemas.openxmlformats.org/officeDocument/2006/relationships/hyperlink" Target="http://en.wikipedia.org/wiki/Coverture" TargetMode="External"/><Relationship Id="rId30" Type="http://schemas.openxmlformats.org/officeDocument/2006/relationships/hyperlink" Target="http://en.wikipedia.org/wiki/Civil_War_(United_States)" TargetMode="External"/><Relationship Id="rId35" Type="http://schemas.openxmlformats.org/officeDocument/2006/relationships/hyperlink" Target="http://en.wikipedia.org/wiki/Nineteenth_Amendment_to_the_United_States_Constitution" TargetMode="External"/><Relationship Id="rId43" Type="http://schemas.openxmlformats.org/officeDocument/2006/relationships/hyperlink" Target="http://en.wikipedia.org/wiki/Child_support" TargetMode="External"/><Relationship Id="rId48" Type="http://schemas.openxmlformats.org/officeDocument/2006/relationships/hyperlink" Target="http://en.wikipedia.org/wiki/Asia" TargetMode="External"/><Relationship Id="rId56" Type="http://schemas.openxmlformats.org/officeDocument/2006/relationships/hyperlink" Target="http://en.wikipedia.org/wiki/Activists" TargetMode="External"/><Relationship Id="rId64" Type="http://schemas.openxmlformats.org/officeDocument/2006/relationships/hyperlink" Target="http://en.wikipedia.org/wiki/Myanmar" TargetMode="External"/><Relationship Id="rId69" Type="http://schemas.openxmlformats.org/officeDocument/2006/relationships/hyperlink" Target="http://en.wikipedia.org/wiki/Senate_of_the_Philippines" TargetMode="External"/><Relationship Id="rId77" Type="http://schemas.openxmlformats.org/officeDocument/2006/relationships/footer" Target="footer3.xml"/><Relationship Id="rId8" Type="http://schemas.openxmlformats.org/officeDocument/2006/relationships/image" Target="media/image1.png"/><Relationship Id="rId51" Type="http://schemas.openxmlformats.org/officeDocument/2006/relationships/hyperlink" Target="http://en.wikipedia.org/wiki/Hong_Kong" TargetMode="External"/><Relationship Id="rId72" Type="http://schemas.openxmlformats.org/officeDocument/2006/relationships/hyperlink" Target="http://en.wikipedia.org/wiki/Writ" TargetMode="External"/><Relationship Id="rId3" Type="http://schemas.openxmlformats.org/officeDocument/2006/relationships/styles" Target="styles.xml"/><Relationship Id="rId12" Type="http://schemas.openxmlformats.org/officeDocument/2006/relationships/hyperlink" Target="http://en.wikipedia.org/wiki/Life,_liberty_and_the_pursuit_of_happiness" TargetMode="External"/><Relationship Id="rId17" Type="http://schemas.openxmlformats.org/officeDocument/2006/relationships/hyperlink" Target="http://en.wikipedia.org/wiki/John_Dickinson_(politician)" TargetMode="External"/><Relationship Id="rId25" Type="http://schemas.openxmlformats.org/officeDocument/2006/relationships/hyperlink" Target="http://en.wikipedia.org/wiki/Coverture" TargetMode="External"/><Relationship Id="rId33" Type="http://schemas.openxmlformats.org/officeDocument/2006/relationships/hyperlink" Target="http://en.wikipedia.org/wiki/Fourteenth_Amendment_to_the_United_States_Constitution" TargetMode="External"/><Relationship Id="rId38" Type="http://schemas.openxmlformats.org/officeDocument/2006/relationships/hyperlink" Target="http://en.wikipedia.org/wiki/Twenty-sixth_Amendment_to_the_United_States_Constitution" TargetMode="External"/><Relationship Id="rId46" Type="http://schemas.openxmlformats.org/officeDocument/2006/relationships/hyperlink" Target="http://en.wikipedia.org/wiki/Convention_on_the_Rights_of_the_Child" TargetMode="External"/><Relationship Id="rId59" Type="http://schemas.openxmlformats.org/officeDocument/2006/relationships/hyperlink" Target="http://en.wikipedia.org/wiki/Bangladesh" TargetMode="External"/><Relationship Id="rId67" Type="http://schemas.openxmlformats.org/officeDocument/2006/relationships/hyperlink" Target="http://en.wikipedia.org/wiki/Legislative" TargetMode="External"/><Relationship Id="rId20" Type="http://schemas.openxmlformats.org/officeDocument/2006/relationships/hyperlink" Target="http://en.wikipedia.org/wiki/Three-Fifths_Compromise" TargetMode="External"/><Relationship Id="rId41" Type="http://schemas.openxmlformats.org/officeDocument/2006/relationships/hyperlink" Target="http://en.wikipedia.org/wiki/First_Lady" TargetMode="External"/><Relationship Id="rId54" Type="http://schemas.openxmlformats.org/officeDocument/2006/relationships/hyperlink" Target="http://en.wikipedia.org/wiki/Asia" TargetMode="External"/><Relationship Id="rId62" Type="http://schemas.openxmlformats.org/officeDocument/2006/relationships/hyperlink" Target="http://en.wikipedia.org/wiki/Philippines" TargetMode="External"/><Relationship Id="rId70" Type="http://schemas.openxmlformats.org/officeDocument/2006/relationships/hyperlink" Target="http://en.wikipedia.org/wiki/Torture"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Quakers" TargetMode="External"/><Relationship Id="rId23" Type="http://schemas.openxmlformats.org/officeDocument/2006/relationships/hyperlink" Target="http://en.wikipedia.org/wiki/Lydia_Taft" TargetMode="External"/><Relationship Id="rId28" Type="http://schemas.openxmlformats.org/officeDocument/2006/relationships/hyperlink" Target="http://en.wikipedia.org/wiki/Femme_sole" TargetMode="External"/><Relationship Id="rId36" Type="http://schemas.openxmlformats.org/officeDocument/2006/relationships/hyperlink" Target="http://en.wikipedia.org/wiki/Sui_generis" TargetMode="External"/><Relationship Id="rId49" Type="http://schemas.openxmlformats.org/officeDocument/2006/relationships/hyperlink" Target="http://en.wikipedia.org/wiki/Consultative_Status" TargetMode="External"/><Relationship Id="rId57" Type="http://schemas.openxmlformats.org/officeDocument/2006/relationships/hyperlink" Target="http://en.wikipedia.org/wiki/Pakistan"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n.wikipedia.org/wiki/Bradwell_v._Illinois" TargetMode="External"/><Relationship Id="rId7" Type="http://schemas.openxmlformats.org/officeDocument/2006/relationships/hyperlink" Target="http://www.hurights.or.jp/archives/focus/section2/2010/06/human-rights-based-approach-to-access-to-justice.html" TargetMode="External"/><Relationship Id="rId2" Type="http://schemas.openxmlformats.org/officeDocument/2006/relationships/hyperlink" Target="http://en.wikipedia.org/wiki/Lydia_Taft" TargetMode="External"/><Relationship Id="rId1" Type="http://schemas.openxmlformats.org/officeDocument/2006/relationships/hyperlink" Target="http://en.wikipedia.org/wiki/Life,_liberty_and_the_pursuit_of_happiness" TargetMode="External"/><Relationship Id="rId6" Type="http://schemas.openxmlformats.org/officeDocument/2006/relationships/hyperlink" Target="http://en.wikipedia.org/wiki/United_Nations" TargetMode="External"/><Relationship Id="rId5" Type="http://schemas.openxmlformats.org/officeDocument/2006/relationships/hyperlink" Target="http://en.wikipedia.org/wiki/Consultative_Status" TargetMode="External"/><Relationship Id="rId4" Type="http://schemas.openxmlformats.org/officeDocument/2006/relationships/hyperlink" Target="http://en.wikipedia.org/wiki/Negative_and_positive_righ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557813-5ABE-4E3E-B9E6-697736F1D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13331</Words>
  <Characters>75993</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Biplobllb</dc:creator>
  <cp:lastModifiedBy>Use</cp:lastModifiedBy>
  <cp:revision>2</cp:revision>
  <cp:lastPrinted>2023-01-04T09:48:00Z</cp:lastPrinted>
  <dcterms:created xsi:type="dcterms:W3CDTF">2023-01-04T09:59:00Z</dcterms:created>
  <dcterms:modified xsi:type="dcterms:W3CDTF">2023-01-04T09:59:00Z</dcterms:modified>
</cp:coreProperties>
</file>